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3904D">
      <w:pPr>
        <w:jc w:val="center"/>
        <w:rPr>
          <w:rFonts w:ascii="宋体" w:hAnsi="宋体" w:cs="宋体"/>
          <w:b/>
          <w:color w:val="auto"/>
          <w:kern w:val="1"/>
          <w:szCs w:val="21"/>
          <w:highlight w:val="none"/>
        </w:rPr>
      </w:pPr>
      <w:bookmarkStart w:id="0" w:name="_Toc4232686"/>
      <w:bookmarkEnd w:id="0"/>
      <w:bookmarkStart w:id="1" w:name="_Toc152042286"/>
      <w:bookmarkStart w:id="2" w:name="_Toc144974478"/>
    </w:p>
    <w:p w14:paraId="22B0CAFB">
      <w:pPr>
        <w:pStyle w:val="14"/>
        <w:spacing w:line="480" w:lineRule="auto"/>
        <w:jc w:val="left"/>
        <w:rPr>
          <w:rFonts w:ascii="宋体" w:hAnsi="宋体" w:cs="宋体"/>
          <w:b/>
          <w:color w:val="auto"/>
          <w:sz w:val="56"/>
          <w:szCs w:val="56"/>
          <w:highlight w:val="none"/>
        </w:rPr>
      </w:pPr>
      <w:r>
        <w:rPr>
          <w:rFonts w:hint="eastAsia" w:ascii="宋体" w:hAnsi="宋体" w:eastAsia="宋体" w:cs="宋体"/>
          <w:b/>
          <w:color w:val="auto"/>
          <w:sz w:val="96"/>
          <w:szCs w:val="96"/>
          <w:highlight w:val="none"/>
          <w:lang w:eastAsia="zh-CN"/>
        </w:rPr>
        <w:drawing>
          <wp:inline distT="0" distB="0" distL="114300" distR="114300">
            <wp:extent cx="2628900" cy="590550"/>
            <wp:effectExtent l="0" t="0" r="0" b="0"/>
            <wp:docPr id="1" name="图片 1" descr="54a51ac16ebebe563180271fb158e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a51ac16ebebe563180271fb158e4f"/>
                    <pic:cNvPicPr>
                      <a:picLocks noChangeAspect="1"/>
                    </pic:cNvPicPr>
                  </pic:nvPicPr>
                  <pic:blipFill>
                    <a:blip r:embed="rId8"/>
                    <a:stretch>
                      <a:fillRect/>
                    </a:stretch>
                  </pic:blipFill>
                  <pic:spPr>
                    <a:xfrm>
                      <a:off x="0" y="0"/>
                      <a:ext cx="2628900" cy="590550"/>
                    </a:xfrm>
                    <a:prstGeom prst="rect">
                      <a:avLst/>
                    </a:prstGeom>
                  </pic:spPr>
                </pic:pic>
              </a:graphicData>
            </a:graphic>
          </wp:inline>
        </w:drawing>
      </w:r>
    </w:p>
    <w:p w14:paraId="3A2D751C">
      <w:pPr>
        <w:pStyle w:val="14"/>
        <w:spacing w:line="480" w:lineRule="auto"/>
        <w:jc w:val="center"/>
        <w:rPr>
          <w:rFonts w:ascii="宋体" w:hAnsi="宋体" w:cs="宋体"/>
          <w:b/>
          <w:color w:val="auto"/>
          <w:sz w:val="48"/>
          <w:szCs w:val="48"/>
          <w:highlight w:val="none"/>
        </w:rPr>
      </w:pPr>
    </w:p>
    <w:p w14:paraId="13FF6B69">
      <w:pPr>
        <w:pStyle w:val="14"/>
        <w:spacing w:line="480" w:lineRule="auto"/>
        <w:jc w:val="center"/>
        <w:rPr>
          <w:rFonts w:ascii="宋体" w:hAnsi="宋体" w:cs="宋体"/>
          <w:b/>
          <w:color w:val="auto"/>
          <w:sz w:val="48"/>
          <w:szCs w:val="48"/>
          <w:highlight w:val="none"/>
        </w:rPr>
      </w:pPr>
    </w:p>
    <w:p w14:paraId="68B0D8B0">
      <w:pPr>
        <w:pStyle w:val="14"/>
        <w:spacing w:line="480" w:lineRule="auto"/>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墨子实验室中原量子谷1号楼超净实验室工艺设备（一期）厂务二次配项目</w:t>
      </w:r>
    </w:p>
    <w:p w14:paraId="23AB7041">
      <w:pPr>
        <w:pStyle w:val="14"/>
        <w:spacing w:line="480" w:lineRule="auto"/>
        <w:rPr>
          <w:rFonts w:ascii="宋体" w:hAnsi="宋体" w:cs="宋体"/>
          <w:b/>
          <w:color w:val="auto"/>
          <w:sz w:val="72"/>
          <w:szCs w:val="72"/>
          <w:highlight w:val="none"/>
        </w:rPr>
      </w:pPr>
    </w:p>
    <w:p w14:paraId="7DD81FA6">
      <w:pPr>
        <w:pStyle w:val="14"/>
        <w:spacing w:line="480" w:lineRule="auto"/>
        <w:rPr>
          <w:rFonts w:ascii="宋体" w:hAnsi="宋体" w:cs="宋体"/>
          <w:b/>
          <w:color w:val="auto"/>
          <w:sz w:val="72"/>
          <w:szCs w:val="72"/>
          <w:highlight w:val="none"/>
        </w:rPr>
      </w:pPr>
    </w:p>
    <w:p w14:paraId="71FD93B8">
      <w:pPr>
        <w:pStyle w:val="14"/>
        <w:spacing w:line="480" w:lineRule="auto"/>
        <w:rPr>
          <w:rFonts w:ascii="宋体" w:hAnsi="宋体" w:cs="宋体"/>
          <w:b/>
          <w:color w:val="auto"/>
          <w:sz w:val="72"/>
          <w:szCs w:val="72"/>
          <w:highlight w:val="none"/>
        </w:rPr>
      </w:pPr>
    </w:p>
    <w:p w14:paraId="4909A0B2">
      <w:pPr>
        <w:jc w:val="center"/>
        <w:rPr>
          <w:rFonts w:ascii="宋体" w:hAnsi="宋体" w:cs="宋体"/>
          <w:b/>
          <w:color w:val="auto"/>
          <w:sz w:val="84"/>
          <w:szCs w:val="84"/>
          <w:highlight w:val="none"/>
        </w:rPr>
      </w:pPr>
      <w:r>
        <w:rPr>
          <w:rFonts w:hint="eastAsia" w:ascii="宋体" w:hAnsi="宋体" w:cs="宋体"/>
          <w:b/>
          <w:color w:val="auto"/>
          <w:sz w:val="72"/>
          <w:szCs w:val="84"/>
          <w:highlight w:val="none"/>
        </w:rPr>
        <w:t>竞争性磋商文件</w:t>
      </w:r>
    </w:p>
    <w:p w14:paraId="207EFC6E">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豫财磋商采购-2026-34</w:t>
      </w:r>
    </w:p>
    <w:p w14:paraId="7A2A95C0">
      <w:pPr>
        <w:jc w:val="center"/>
        <w:rPr>
          <w:rFonts w:ascii="宋体" w:hAnsi="宋体" w:cs="宋体"/>
          <w:b/>
          <w:bCs/>
          <w:color w:val="auto"/>
          <w:sz w:val="32"/>
          <w:szCs w:val="32"/>
          <w:highlight w:val="none"/>
        </w:rPr>
      </w:pPr>
    </w:p>
    <w:p w14:paraId="7618A3A6">
      <w:pPr>
        <w:rPr>
          <w:rFonts w:ascii="宋体" w:hAnsi="宋体" w:cs="宋体"/>
          <w:color w:val="auto"/>
          <w:sz w:val="44"/>
          <w:szCs w:val="44"/>
          <w:highlight w:val="none"/>
        </w:rPr>
      </w:pPr>
    </w:p>
    <w:p w14:paraId="0EC69984">
      <w:pPr>
        <w:spacing w:line="360" w:lineRule="auto"/>
        <w:rPr>
          <w:rFonts w:ascii="宋体" w:hAnsi="宋体" w:cs="宋体"/>
          <w:color w:val="auto"/>
          <w:sz w:val="32"/>
          <w:szCs w:val="20"/>
          <w:highlight w:val="none"/>
        </w:rPr>
      </w:pPr>
    </w:p>
    <w:p w14:paraId="3498E07C">
      <w:pPr>
        <w:spacing w:line="360" w:lineRule="auto"/>
        <w:rPr>
          <w:rFonts w:ascii="宋体" w:hAnsi="宋体" w:cs="宋体"/>
          <w:color w:val="auto"/>
          <w:sz w:val="32"/>
          <w:szCs w:val="20"/>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5278"/>
      </w:tblGrid>
      <w:tr w14:paraId="22BB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01" w:type="dxa"/>
            <w:tcBorders>
              <w:top w:val="single" w:color="FFFFFF" w:sz="4" w:space="0"/>
              <w:left w:val="single" w:color="FFFFFF" w:sz="4" w:space="0"/>
              <w:bottom w:val="single" w:color="FFFFFF" w:sz="4" w:space="0"/>
              <w:right w:val="single" w:color="FFFFFF" w:sz="4" w:space="0"/>
            </w:tcBorders>
            <w:noWrap w:val="0"/>
            <w:vAlign w:val="center"/>
          </w:tcPr>
          <w:p w14:paraId="2C77B0AE">
            <w:pPr>
              <w:keepNext w:val="0"/>
              <w:keepLines w:val="0"/>
              <w:suppressLineNumbers w:val="0"/>
              <w:spacing w:before="0" w:beforeAutospacing="0" w:after="0" w:afterAutospacing="0"/>
              <w:ind w:left="0" w:right="0"/>
              <w:jc w:val="center"/>
              <w:rPr>
                <w:rFonts w:hint="eastAsia" w:ascii="宋体" w:hAnsi="宋体" w:cs="宋体"/>
                <w:b/>
                <w:color w:val="auto"/>
                <w:kern w:val="0"/>
                <w:sz w:val="30"/>
                <w:szCs w:val="30"/>
                <w:highlight w:val="none"/>
              </w:rPr>
            </w:pPr>
            <w:r>
              <w:rPr>
                <w:rFonts w:hint="eastAsia" w:ascii="宋体" w:hAnsi="宋体" w:cs="宋体"/>
                <w:b/>
                <w:color w:val="auto"/>
                <w:sz w:val="30"/>
                <w:szCs w:val="30"/>
                <w:highlight w:val="none"/>
              </w:rPr>
              <w:t>采   购   人：</w:t>
            </w:r>
          </w:p>
        </w:tc>
        <w:tc>
          <w:tcPr>
            <w:tcW w:w="5278" w:type="dxa"/>
            <w:tcBorders>
              <w:top w:val="single" w:color="FFFFFF" w:sz="4" w:space="0"/>
              <w:left w:val="single" w:color="FFFFFF" w:sz="4" w:space="0"/>
              <w:bottom w:val="single" w:color="FFFFFF" w:sz="4" w:space="0"/>
              <w:right w:val="single" w:color="FFFFFF" w:sz="4" w:space="0"/>
            </w:tcBorders>
            <w:noWrap w:val="0"/>
            <w:vAlign w:val="center"/>
          </w:tcPr>
          <w:p w14:paraId="10F9F344">
            <w:pPr>
              <w:keepNext w:val="0"/>
              <w:keepLines w:val="0"/>
              <w:suppressLineNumbers w:val="0"/>
              <w:spacing w:before="0" w:beforeAutospacing="0" w:after="0" w:afterAutospacing="0"/>
              <w:ind w:left="0" w:right="0"/>
              <w:rPr>
                <w:rFonts w:hint="eastAsia" w:ascii="宋体" w:hAnsi="宋体" w:eastAsia="宋体" w:cs="宋体"/>
                <w:b/>
                <w:color w:val="auto"/>
                <w:kern w:val="0"/>
                <w:sz w:val="30"/>
                <w:szCs w:val="30"/>
                <w:highlight w:val="none"/>
                <w:lang w:eastAsia="zh-CN"/>
              </w:rPr>
            </w:pPr>
            <w:r>
              <w:rPr>
                <w:rFonts w:hint="eastAsia" w:ascii="宋体" w:hAnsi="宋体" w:cs="宋体"/>
                <w:b/>
                <w:color w:val="auto"/>
                <w:kern w:val="0"/>
                <w:sz w:val="30"/>
                <w:szCs w:val="30"/>
                <w:highlight w:val="none"/>
                <w:lang w:eastAsia="zh-CN"/>
              </w:rPr>
              <w:t>墨子实验室</w:t>
            </w:r>
          </w:p>
        </w:tc>
      </w:tr>
      <w:tr w14:paraId="10E3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01" w:type="dxa"/>
            <w:tcBorders>
              <w:top w:val="single" w:color="FFFFFF" w:sz="4" w:space="0"/>
              <w:left w:val="single" w:color="FFFFFF" w:sz="4" w:space="0"/>
              <w:bottom w:val="single" w:color="FFFFFF" w:sz="4" w:space="0"/>
              <w:right w:val="single" w:color="FFFFFF" w:sz="4" w:space="0"/>
            </w:tcBorders>
            <w:noWrap w:val="0"/>
            <w:vAlign w:val="center"/>
          </w:tcPr>
          <w:p w14:paraId="21206C92">
            <w:pPr>
              <w:keepNext w:val="0"/>
              <w:keepLines w:val="0"/>
              <w:suppressLineNumbers w:val="0"/>
              <w:spacing w:before="0" w:beforeAutospacing="0" w:after="0" w:afterAutospacing="0"/>
              <w:ind w:left="0" w:right="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采购代理机构：</w:t>
            </w:r>
          </w:p>
        </w:tc>
        <w:tc>
          <w:tcPr>
            <w:tcW w:w="5278" w:type="dxa"/>
            <w:tcBorders>
              <w:top w:val="single" w:color="FFFFFF" w:sz="4" w:space="0"/>
              <w:left w:val="single" w:color="FFFFFF" w:sz="4" w:space="0"/>
              <w:bottom w:val="single" w:color="FFFFFF" w:sz="4" w:space="0"/>
              <w:right w:val="single" w:color="FFFFFF" w:sz="4" w:space="0"/>
            </w:tcBorders>
            <w:noWrap w:val="0"/>
            <w:vAlign w:val="center"/>
          </w:tcPr>
          <w:p w14:paraId="73C7CF27">
            <w:pPr>
              <w:keepNext w:val="0"/>
              <w:keepLines w:val="0"/>
              <w:suppressLineNumbers w:val="0"/>
              <w:spacing w:before="0" w:beforeAutospacing="0" w:after="0" w:afterAutospacing="0"/>
              <w:ind w:left="0" w:right="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河南海纳建设管理有限公司</w:t>
            </w:r>
          </w:p>
        </w:tc>
      </w:tr>
      <w:tr w14:paraId="7D57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01" w:type="dxa"/>
            <w:tcBorders>
              <w:top w:val="single" w:color="FFFFFF" w:sz="4" w:space="0"/>
              <w:left w:val="single" w:color="FFFFFF" w:sz="4" w:space="0"/>
              <w:bottom w:val="single" w:color="FFFFFF" w:sz="4" w:space="0"/>
              <w:right w:val="single" w:color="FFFFFF" w:sz="4" w:space="0"/>
            </w:tcBorders>
            <w:noWrap w:val="0"/>
            <w:vAlign w:val="center"/>
          </w:tcPr>
          <w:p w14:paraId="70ED26F7">
            <w:pPr>
              <w:keepNext w:val="0"/>
              <w:keepLines w:val="0"/>
              <w:suppressLineNumbers w:val="0"/>
              <w:spacing w:before="0" w:beforeAutospacing="0" w:after="0" w:afterAutospacing="0"/>
              <w:ind w:left="0" w:right="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日        期：</w:t>
            </w:r>
          </w:p>
        </w:tc>
        <w:tc>
          <w:tcPr>
            <w:tcW w:w="5278" w:type="dxa"/>
            <w:tcBorders>
              <w:top w:val="single" w:color="FFFFFF" w:sz="4" w:space="0"/>
              <w:left w:val="single" w:color="FFFFFF" w:sz="4" w:space="0"/>
              <w:bottom w:val="single" w:color="FFFFFF" w:sz="4" w:space="0"/>
              <w:right w:val="single" w:color="FFFFFF" w:sz="4" w:space="0"/>
            </w:tcBorders>
            <w:noWrap w:val="0"/>
            <w:vAlign w:val="center"/>
          </w:tcPr>
          <w:p w14:paraId="430A2A33">
            <w:pPr>
              <w:keepNext w:val="0"/>
              <w:keepLines w:val="0"/>
              <w:suppressLineNumbers w:val="0"/>
              <w:spacing w:before="0" w:beforeAutospacing="0" w:after="0" w:afterAutospacing="0"/>
              <w:ind w:left="0" w:right="0"/>
              <w:rPr>
                <w:rFonts w:hint="eastAsia" w:ascii="宋体" w:hAnsi="宋体" w:cs="宋体"/>
                <w:b/>
                <w:color w:val="auto"/>
                <w:sz w:val="30"/>
                <w:szCs w:val="30"/>
                <w:highlight w:val="none"/>
              </w:rPr>
            </w:pPr>
            <w:r>
              <w:rPr>
                <w:rFonts w:hint="eastAsia" w:ascii="宋体" w:hAnsi="宋体" w:cs="宋体"/>
                <w:b/>
                <w:color w:val="auto"/>
                <w:kern w:val="0"/>
                <w:sz w:val="30"/>
                <w:szCs w:val="30"/>
                <w:highlight w:val="none"/>
              </w:rPr>
              <w:t>二〇二</w:t>
            </w:r>
            <w:r>
              <w:rPr>
                <w:rFonts w:hint="eastAsia" w:ascii="宋体" w:hAnsi="宋体" w:cs="宋体"/>
                <w:b/>
                <w:color w:val="auto"/>
                <w:kern w:val="0"/>
                <w:sz w:val="30"/>
                <w:szCs w:val="30"/>
                <w:highlight w:val="none"/>
                <w:lang w:eastAsia="zh"/>
                <w:woUserID w:val="3"/>
              </w:rPr>
              <w:t>六</w:t>
            </w:r>
            <w:r>
              <w:rPr>
                <w:rFonts w:hint="eastAsia" w:ascii="宋体" w:hAnsi="宋体" w:cs="宋体"/>
                <w:b/>
                <w:color w:val="auto"/>
                <w:kern w:val="0"/>
                <w:sz w:val="30"/>
                <w:szCs w:val="30"/>
                <w:highlight w:val="none"/>
              </w:rPr>
              <w:t>年</w:t>
            </w:r>
            <w:r>
              <w:rPr>
                <w:rFonts w:hint="eastAsia" w:ascii="宋体" w:hAnsi="宋体" w:cs="宋体"/>
                <w:b/>
                <w:color w:val="auto"/>
                <w:kern w:val="0"/>
                <w:sz w:val="30"/>
                <w:szCs w:val="30"/>
                <w:highlight w:val="none"/>
                <w:lang w:eastAsia="zh"/>
                <w:woUserID w:val="3"/>
              </w:rPr>
              <w:t>一</w:t>
            </w:r>
            <w:r>
              <w:rPr>
                <w:rFonts w:hint="eastAsia" w:ascii="宋体" w:hAnsi="宋体" w:cs="宋体"/>
                <w:b/>
                <w:color w:val="auto"/>
                <w:kern w:val="0"/>
                <w:sz w:val="30"/>
                <w:szCs w:val="30"/>
                <w:highlight w:val="none"/>
              </w:rPr>
              <w:t>月</w:t>
            </w:r>
          </w:p>
        </w:tc>
      </w:tr>
    </w:tbl>
    <w:p w14:paraId="379F1BB5">
      <w:pPr>
        <w:spacing w:line="360" w:lineRule="auto"/>
        <w:rPr>
          <w:rFonts w:ascii="宋体" w:hAnsi="宋体" w:cs="宋体"/>
          <w:color w:val="auto"/>
          <w:sz w:val="32"/>
          <w:szCs w:val="20"/>
          <w:highlight w:val="none"/>
        </w:rPr>
      </w:pPr>
    </w:p>
    <w:p w14:paraId="5F29CFE2">
      <w:pPr>
        <w:spacing w:line="360" w:lineRule="auto"/>
        <w:ind w:firstLine="1472" w:firstLineChars="460"/>
        <w:rPr>
          <w:rFonts w:ascii="宋体" w:hAnsi="宋体" w:cs="宋体"/>
          <w:color w:val="auto"/>
          <w:sz w:val="32"/>
          <w:szCs w:val="20"/>
          <w:highlight w:val="none"/>
        </w:rPr>
      </w:pPr>
    </w:p>
    <w:p w14:paraId="077F4F54">
      <w:pPr>
        <w:pStyle w:val="8"/>
        <w:jc w:val="center"/>
        <w:rPr>
          <w:rFonts w:hint="eastAsia" w:ascii="宋体" w:hAnsi="宋体" w:cs="宋体"/>
          <w:b/>
          <w:color w:val="auto"/>
          <w:sz w:val="32"/>
          <w:highlight w:val="none"/>
        </w:rPr>
        <w:sectPr>
          <w:headerReference r:id="rId4" w:type="first"/>
          <w:headerReference r:id="rId3" w:type="default"/>
          <w:footerReference r:id="rId5" w:type="default"/>
          <w:pgSz w:w="11906" w:h="16838"/>
          <w:pgMar w:top="1440" w:right="1061" w:bottom="1440" w:left="1800" w:header="851" w:footer="992" w:gutter="0"/>
          <w:pgNumType w:start="1"/>
          <w:cols w:space="720" w:num="1"/>
          <w:titlePg/>
          <w:docGrid w:type="lines" w:linePitch="312" w:charSpace="0"/>
        </w:sectPr>
      </w:pPr>
    </w:p>
    <w:p w14:paraId="1A05BDB9">
      <w:pPr>
        <w:jc w:val="center"/>
        <w:rPr>
          <w:rFonts w:ascii="宋体" w:hAnsi="宋体" w:cs="宋体"/>
          <w:color w:val="auto"/>
          <w:sz w:val="30"/>
          <w:szCs w:val="30"/>
          <w:highlight w:val="none"/>
        </w:rPr>
      </w:pPr>
      <w:r>
        <w:rPr>
          <w:rFonts w:hint="eastAsia" w:ascii="宋体" w:hAnsi="宋体" w:cs="宋体"/>
          <w:b/>
          <w:color w:val="auto"/>
          <w:sz w:val="30"/>
          <w:szCs w:val="30"/>
          <w:highlight w:val="none"/>
        </w:rPr>
        <w:t>特 别 提 示</w:t>
      </w:r>
    </w:p>
    <w:p w14:paraId="31742092">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注册</w:t>
      </w:r>
    </w:p>
    <w:p w14:paraId="46588AB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首先通过“河南省公共资源交易中心（</w:t>
      </w:r>
      <w:r>
        <w:rPr>
          <w:color w:val="auto"/>
          <w:highlight w:val="none"/>
        </w:rPr>
        <w:fldChar w:fldCharType="begin"/>
      </w:r>
      <w:r>
        <w:rPr>
          <w:color w:val="auto"/>
          <w:highlight w:val="none"/>
        </w:rPr>
        <w:instrText xml:space="preserve"> HYPERLINK "http://www.hnggzy.com）" </w:instrText>
      </w:r>
      <w:r>
        <w:rPr>
          <w:color w:val="auto"/>
          <w:highlight w:val="none"/>
        </w:rPr>
        <w:fldChar w:fldCharType="separate"/>
      </w:r>
      <w:r>
        <w:rPr>
          <w:rFonts w:hint="eastAsia" w:ascii="宋体" w:hAnsi="宋体" w:cs="宋体"/>
          <w:color w:val="auto"/>
          <w:sz w:val="24"/>
          <w:highlight w:val="none"/>
        </w:rPr>
        <w:t>https://hnsggzyjy.henan.gov.cn/）”网站进行</w:t>
      </w:r>
      <w:r>
        <w:rPr>
          <w:rFonts w:hint="eastAsia" w:ascii="宋体" w:hAnsi="宋体" w:cs="宋体"/>
          <w:color w:val="auto"/>
          <w:sz w:val="24"/>
          <w:highlight w:val="none"/>
        </w:rPr>
        <w:fldChar w:fldCharType="end"/>
      </w:r>
      <w:r>
        <w:rPr>
          <w:rFonts w:hint="eastAsia" w:ascii="宋体" w:hAnsi="宋体" w:cs="宋体"/>
          <w:color w:val="auto"/>
          <w:sz w:val="24"/>
          <w:highlight w:val="none"/>
        </w:rPr>
        <w:t>注册，然后按网站公共服务（办事指南及下载专区）公共资源项目CA办理流程准备齐注册资料。</w:t>
      </w:r>
    </w:p>
    <w:p w14:paraId="507620C6">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制作</w:t>
      </w:r>
    </w:p>
    <w:p w14:paraId="6C9C4A78">
      <w:pPr>
        <w:spacing w:line="44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2.1、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通过“河南省公共资源交易中心（https://hnsggzyjy.henan.gov.cn/）”网站公共服务（办事指南及下载专区），下载“</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制作工具安装包压缩文件下载”等。</w:t>
      </w:r>
    </w:p>
    <w:p w14:paraId="03B1C26D">
      <w:pPr>
        <w:spacing w:line="44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2.2、</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凭CA密钥登陆河南省交易中心网站并按网上提示自行下载每个项目所含格式(.hnzf)的</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w:t>
      </w:r>
    </w:p>
    <w:p w14:paraId="00E01BB6">
      <w:pPr>
        <w:tabs>
          <w:tab w:val="left" w:pos="720"/>
        </w:tabs>
        <w:spacing w:line="44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2.3、</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须在</w:t>
      </w:r>
      <w:r>
        <w:rPr>
          <w:rFonts w:hint="eastAsia" w:ascii="宋体" w:hAnsi="宋体" w:cs="宋体"/>
          <w:color w:val="auto"/>
          <w:kern w:val="0"/>
          <w:sz w:val="24"/>
          <w:highlight w:val="none"/>
          <w:lang w:val="zh-CN"/>
        </w:rPr>
        <w:t>响应文件递交截止时间</w:t>
      </w:r>
      <w:r>
        <w:rPr>
          <w:rFonts w:hint="eastAsia" w:ascii="宋体" w:hAnsi="宋体" w:cs="宋体"/>
          <w:color w:val="auto"/>
          <w:sz w:val="24"/>
          <w:highlight w:val="none"/>
        </w:rPr>
        <w:t>前制作并提交：加密的电子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（*.hntf 格式）,应在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截止时间前通过“河南省公共资源交易中心（https://hnsggzyjy.henan.gov.cn/）”电子交易平台内上传；</w:t>
      </w:r>
    </w:p>
    <w:p w14:paraId="7AE4C192">
      <w:pPr>
        <w:spacing w:line="440" w:lineRule="exact"/>
        <w:ind w:firstLine="482" w:firstLineChars="200"/>
        <w:rPr>
          <w:rFonts w:ascii="宋体" w:hAnsi="宋体" w:cs="宋体"/>
          <w:color w:val="auto"/>
          <w:sz w:val="24"/>
          <w:highlight w:val="none"/>
        </w:rPr>
      </w:pPr>
      <w:r>
        <w:rPr>
          <w:rFonts w:hint="eastAsia" w:ascii="宋体" w:hAnsi="宋体" w:cs="宋体"/>
          <w:b/>
          <w:color w:val="auto"/>
          <w:kern w:val="0"/>
          <w:sz w:val="24"/>
          <w:highlight w:val="none"/>
          <w:lang w:val="zh-CN"/>
        </w:rPr>
        <w:t>2.4、</w:t>
      </w:r>
      <w:r>
        <w:rPr>
          <w:rFonts w:hint="eastAsia" w:ascii="宋体" w:hAnsi="宋体" w:cs="宋体"/>
          <w:color w:val="auto"/>
          <w:sz w:val="24"/>
          <w:highlight w:val="none"/>
        </w:rPr>
        <w:t>加密的电子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为“河南省公共资源交易中心（https://hnsggzyjy.henan.gov.cn/）” 网站提供的“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制作工具”软件制作生成的加密版</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14:paraId="11D387E1">
      <w:pPr>
        <w:tabs>
          <w:tab w:val="left" w:pos="720"/>
        </w:tabs>
        <w:spacing w:line="440" w:lineRule="exact"/>
        <w:ind w:firstLine="482" w:firstLineChars="200"/>
        <w:rPr>
          <w:rFonts w:ascii="宋体" w:hAnsi="宋体" w:cs="宋体"/>
          <w:b/>
          <w:strike/>
          <w:color w:val="auto"/>
          <w:sz w:val="24"/>
          <w:highlight w:val="none"/>
        </w:rPr>
      </w:pPr>
      <w:r>
        <w:rPr>
          <w:rFonts w:hint="eastAsia" w:ascii="宋体" w:hAnsi="宋体" w:cs="宋体"/>
          <w:b/>
          <w:color w:val="auto"/>
          <w:sz w:val="24"/>
          <w:highlight w:val="none"/>
        </w:rPr>
        <w:t>2.5、</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在制作电子</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时，“</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制作工具”左侧栏目“封面”、“投标函”制作完成后须加盖电子签章（包括企业电子签章和个人电子签章）；左侧栏目“投标正文”中的内容：</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商务部分格式、</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技术部分格式按格式要求电子签章（包括企业电子签章、个人电子签章），并将所有扫描内容（包括营业执照、资质证书、财务报告、纳税凭证等）电子签章（企业电子签章）。</w:t>
      </w:r>
    </w:p>
    <w:p w14:paraId="035598C3">
      <w:pPr>
        <w:spacing w:line="44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2.6、</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格式所要求包含的全部资料应全部制作在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内，严格按照本项目</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所有格式如实填写（不涉及的内容除外），不应存在漏项或缺项，否则将存在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被拒绝的风险。投标函，须严格按照格式编辑，并作为电子开评标系统上传的依据。</w:t>
      </w:r>
    </w:p>
    <w:p w14:paraId="241DDE4A">
      <w:pPr>
        <w:spacing w:line="44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2.7、</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以外的任何资料</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和</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将拒收。</w:t>
      </w:r>
    </w:p>
    <w:p w14:paraId="6D327F79">
      <w:pPr>
        <w:spacing w:line="44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2.8、</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编辑电子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时，根据</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要求用法人CA密钥和企业CA密钥进行签章制作；最后一步生成电子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（*.hntf格式和*.nhntf格式）时，只能用本单位的企业CA密钥。</w:t>
      </w:r>
    </w:p>
    <w:p w14:paraId="5003F875">
      <w:pPr>
        <w:spacing w:line="440" w:lineRule="exact"/>
        <w:ind w:firstLine="496" w:firstLineChars="206"/>
        <w:rPr>
          <w:rFonts w:ascii="宋体" w:hAnsi="宋体" w:cs="宋体"/>
          <w:b/>
          <w:color w:val="auto"/>
          <w:sz w:val="24"/>
          <w:highlight w:val="none"/>
        </w:rPr>
      </w:pPr>
      <w:r>
        <w:rPr>
          <w:rFonts w:hint="eastAsia" w:ascii="宋体" w:hAnsi="宋体" w:cs="宋体"/>
          <w:b/>
          <w:color w:val="auto"/>
          <w:sz w:val="24"/>
          <w:highlight w:val="none"/>
        </w:rPr>
        <w:t>3、澄清与变更</w:t>
      </w:r>
    </w:p>
    <w:p w14:paraId="1772960D">
      <w:pPr>
        <w:widowControl/>
        <w:spacing w:line="440" w:lineRule="exact"/>
        <w:ind w:firstLine="494" w:firstLineChars="206"/>
        <w:jc w:val="left"/>
        <w:rPr>
          <w:rFonts w:ascii="宋体" w:hAnsi="宋体" w:cs="宋体"/>
          <w:b/>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对已发出的</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进行的澄清、更正或更改，澄清、更正或更改的内容将作为</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的组成部分。</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将通过网站“变更公告”和系统内部“答疑文件”告知</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，对于各项目中已经成功下载</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的项目</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，系统将通过第三方短信群发方式提醒</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进行查询。各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须重新下载最新的</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和答疑文件，以此编制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注册时所留手机联系方式要保持畅通，因联系方式变更而未及时更新系统内联系方式的，将会造成收不到短信。此短信仅系友情提示，并不具有任何约束性和必要性，</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不承担</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未收到短信而引起的一切后果和法律责任。</w:t>
      </w:r>
    </w:p>
    <w:p w14:paraId="76227E8E">
      <w:pPr>
        <w:spacing w:line="440" w:lineRule="exact"/>
        <w:ind w:firstLine="602" w:firstLineChars="250"/>
        <w:jc w:val="left"/>
        <w:rPr>
          <w:rFonts w:ascii="宋体" w:hAnsi="宋体" w:cs="宋体"/>
          <w:b/>
          <w:bCs/>
          <w:color w:val="auto"/>
          <w:sz w:val="24"/>
          <w:highlight w:val="none"/>
        </w:rPr>
      </w:pPr>
      <w:r>
        <w:rPr>
          <w:rFonts w:hint="eastAsia" w:ascii="宋体" w:hAnsi="宋体" w:cs="宋体"/>
          <w:b/>
          <w:color w:val="auto"/>
          <w:sz w:val="24"/>
          <w:highlight w:val="none"/>
        </w:rPr>
        <w:t>4、因河南省公共资源交易中心平台在开标前具有保密性，</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在</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递交截止时间前须自行查看项目进展、变更通知、澄清及回复，因</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未及时查看而造成的后果自负。</w:t>
      </w:r>
    </w:p>
    <w:p w14:paraId="488A010E">
      <w:pPr>
        <w:spacing w:line="500" w:lineRule="exact"/>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5、本项目</w:t>
      </w:r>
      <w:r>
        <w:rPr>
          <w:rFonts w:hint="eastAsia" w:ascii="宋体" w:hAnsi="宋体" w:cs="宋体"/>
          <w:b/>
          <w:bCs/>
          <w:color w:val="auto"/>
          <w:sz w:val="24"/>
          <w:highlight w:val="none"/>
          <w:u w:val="single"/>
          <w:lang w:eastAsia="zh-CN"/>
        </w:rPr>
        <w:t>采购文件</w:t>
      </w:r>
      <w:r>
        <w:rPr>
          <w:rFonts w:hint="eastAsia" w:ascii="宋体" w:hAnsi="宋体" w:cs="宋体"/>
          <w:b/>
          <w:bCs/>
          <w:color w:val="auto"/>
          <w:sz w:val="24"/>
          <w:highlight w:val="none"/>
          <w:u w:val="single"/>
        </w:rPr>
        <w:t>严格执行河南省公共资源交易中心不见面政策要求，实行远程开标，开标评标全过程不再接受除了系统加密电子</w:t>
      </w:r>
      <w:r>
        <w:rPr>
          <w:rFonts w:hint="eastAsia" w:ascii="宋体" w:hAnsi="宋体" w:cs="宋体"/>
          <w:b/>
          <w:bCs/>
          <w:color w:val="auto"/>
          <w:sz w:val="24"/>
          <w:highlight w:val="none"/>
          <w:u w:val="single"/>
          <w:lang w:eastAsia="zh-CN"/>
        </w:rPr>
        <w:t>响应文件</w:t>
      </w:r>
      <w:r>
        <w:rPr>
          <w:rFonts w:hint="eastAsia" w:ascii="宋体" w:hAnsi="宋体" w:cs="宋体"/>
          <w:b/>
          <w:bCs/>
          <w:color w:val="auto"/>
          <w:sz w:val="24"/>
          <w:highlight w:val="none"/>
          <w:u w:val="single"/>
        </w:rPr>
        <w:t>以外的任何证明材料。</w:t>
      </w:r>
      <w:r>
        <w:rPr>
          <w:rFonts w:hint="eastAsia" w:ascii="宋体" w:hAnsi="宋体" w:cs="宋体"/>
          <w:b/>
          <w:bCs/>
          <w:color w:val="auto"/>
          <w:sz w:val="24"/>
          <w:highlight w:val="none"/>
          <w:u w:val="single"/>
          <w:lang w:eastAsia="zh-CN"/>
        </w:rPr>
        <w:t>供应商</w:t>
      </w:r>
      <w:r>
        <w:rPr>
          <w:rFonts w:hint="eastAsia" w:ascii="宋体" w:hAnsi="宋体" w:cs="宋体"/>
          <w:b/>
          <w:bCs/>
          <w:color w:val="auto"/>
          <w:sz w:val="24"/>
          <w:highlight w:val="none"/>
          <w:u w:val="single"/>
        </w:rPr>
        <w:t>编制</w:t>
      </w:r>
      <w:r>
        <w:rPr>
          <w:rFonts w:hint="eastAsia" w:ascii="宋体" w:hAnsi="宋体" w:cs="宋体"/>
          <w:b/>
          <w:bCs/>
          <w:color w:val="auto"/>
          <w:sz w:val="24"/>
          <w:highlight w:val="none"/>
          <w:u w:val="single"/>
          <w:lang w:eastAsia="zh-CN"/>
        </w:rPr>
        <w:t>响应文件</w:t>
      </w:r>
      <w:r>
        <w:rPr>
          <w:rFonts w:hint="eastAsia" w:ascii="宋体" w:hAnsi="宋体" w:cs="宋体"/>
          <w:b/>
          <w:bCs/>
          <w:color w:val="auto"/>
          <w:sz w:val="24"/>
          <w:highlight w:val="none"/>
          <w:u w:val="single"/>
        </w:rPr>
        <w:t>时，如有涉及营业执照、资质、业绩、获奖、人员、财务、社保、纳税、各类证书等内容，必须在河南省公共资源交易中心市场主体信息库中已登记的信息中选取。未在市场主体信息库中登记的上述内容，因在评标系统中无法调取故不作为评标依据。</w:t>
      </w:r>
      <w:r>
        <w:rPr>
          <w:rFonts w:hint="eastAsia" w:ascii="宋体" w:hAnsi="宋体" w:cs="宋体"/>
          <w:b/>
          <w:bCs/>
          <w:color w:val="auto"/>
          <w:sz w:val="24"/>
          <w:highlight w:val="none"/>
          <w:u w:val="single"/>
          <w:lang w:eastAsia="zh-CN"/>
        </w:rPr>
        <w:t>供应商</w:t>
      </w:r>
      <w:r>
        <w:rPr>
          <w:rFonts w:hint="eastAsia" w:ascii="宋体" w:hAnsi="宋体" w:cs="宋体"/>
          <w:b/>
          <w:bCs/>
          <w:color w:val="auto"/>
          <w:sz w:val="24"/>
          <w:highlight w:val="none"/>
          <w:u w:val="single"/>
        </w:rPr>
        <w:t>应及时对河南省公共资源交易中心市场主体信息库的相关内容进行补充、更新。</w:t>
      </w:r>
    </w:p>
    <w:p w14:paraId="41A03EAF">
      <w:pPr>
        <w:spacing w:line="500" w:lineRule="exact"/>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6、本项目采用“远程不见面”开标方式，远程开标大厅网址为：http://hnsggzyjy.henan.gov.cn/BidOpening/bidopeninghallaction/hall/login，</w:t>
      </w:r>
      <w:r>
        <w:rPr>
          <w:rFonts w:hint="eastAsia" w:ascii="宋体" w:hAnsi="宋体" w:cs="宋体"/>
          <w:b/>
          <w:bCs/>
          <w:color w:val="auto"/>
          <w:sz w:val="24"/>
          <w:highlight w:val="none"/>
          <w:u w:val="single"/>
          <w:lang w:eastAsia="zh-CN"/>
        </w:rPr>
        <w:t>供应商</w:t>
      </w:r>
      <w:r>
        <w:rPr>
          <w:rFonts w:hint="eastAsia" w:ascii="宋体" w:hAnsi="宋体" w:cs="宋体"/>
          <w:b/>
          <w:bCs/>
          <w:color w:val="auto"/>
          <w:sz w:val="24"/>
          <w:highlight w:val="none"/>
          <w:u w:val="single"/>
        </w:rPr>
        <w:t>自行登录业务系统参与项目开标，无需到河南省公共资源交易中心现场参加开标会议。</w:t>
      </w:r>
      <w:r>
        <w:rPr>
          <w:rFonts w:hint="eastAsia" w:ascii="宋体" w:hAnsi="宋体" w:cs="宋体"/>
          <w:b/>
          <w:bCs/>
          <w:color w:val="auto"/>
          <w:sz w:val="24"/>
          <w:highlight w:val="none"/>
          <w:u w:val="single"/>
          <w:lang w:eastAsia="zh-CN"/>
        </w:rPr>
        <w:t>供应商</w:t>
      </w:r>
      <w:r>
        <w:rPr>
          <w:rFonts w:hint="eastAsia" w:ascii="宋体" w:hAnsi="宋体" w:cs="宋体"/>
          <w:b/>
          <w:bCs/>
          <w:color w:val="auto"/>
          <w:sz w:val="24"/>
          <w:highlight w:val="none"/>
          <w:u w:val="single"/>
        </w:rPr>
        <w:t>应当在</w:t>
      </w:r>
      <w:r>
        <w:rPr>
          <w:rFonts w:hint="eastAsia" w:ascii="宋体" w:hAnsi="宋体" w:cs="宋体"/>
          <w:b/>
          <w:bCs/>
          <w:color w:val="auto"/>
          <w:sz w:val="24"/>
          <w:highlight w:val="none"/>
          <w:u w:val="single"/>
          <w:lang w:eastAsia="zh-CN"/>
        </w:rPr>
        <w:t>响应文件提交截止时间</w:t>
      </w:r>
      <w:r>
        <w:rPr>
          <w:rFonts w:hint="eastAsia" w:ascii="宋体" w:hAnsi="宋体" w:cs="宋体"/>
          <w:b/>
          <w:bCs/>
          <w:color w:val="auto"/>
          <w:sz w:val="24"/>
          <w:highlight w:val="none"/>
          <w:u w:val="single"/>
        </w:rPr>
        <w:t>（开标时间）前，登录远程开标大厅，在线准时参加开标活动并按业务系统要求在规定时间进行</w:t>
      </w:r>
      <w:r>
        <w:rPr>
          <w:rFonts w:hint="eastAsia" w:ascii="宋体" w:hAnsi="宋体" w:cs="宋体"/>
          <w:b/>
          <w:bCs/>
          <w:color w:val="auto"/>
          <w:sz w:val="24"/>
          <w:highlight w:val="none"/>
          <w:u w:val="single"/>
          <w:lang w:eastAsia="zh-CN"/>
        </w:rPr>
        <w:t>响应文件</w:t>
      </w:r>
      <w:r>
        <w:rPr>
          <w:rFonts w:hint="eastAsia" w:ascii="宋体" w:hAnsi="宋体" w:cs="宋体"/>
          <w:b/>
          <w:bCs/>
          <w:color w:val="auto"/>
          <w:sz w:val="24"/>
          <w:highlight w:val="none"/>
          <w:u w:val="single"/>
        </w:rPr>
        <w:t>解密等。</w:t>
      </w:r>
    </w:p>
    <w:p w14:paraId="6AC5C63D">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具体事宜请查阅河南省公共资源交易中心网站“办事指南”专区的《新交易平台使用手册（培训资料）》</w:t>
      </w:r>
    </w:p>
    <w:p w14:paraId="563E659D">
      <w:pPr>
        <w:spacing w:line="500" w:lineRule="exact"/>
        <w:ind w:firstLine="643" w:firstLineChars="200"/>
        <w:rPr>
          <w:rFonts w:hint="eastAsia" w:ascii="宋体" w:hAnsi="宋体" w:cs="宋体"/>
          <w:b/>
          <w:color w:val="auto"/>
          <w:sz w:val="32"/>
          <w:szCs w:val="32"/>
          <w:highlight w:val="none"/>
        </w:rPr>
      </w:pPr>
    </w:p>
    <w:p w14:paraId="57BF3902">
      <w:pPr>
        <w:rPr>
          <w:rFonts w:hint="eastAsia"/>
          <w:b/>
          <w:bCs/>
          <w:color w:val="auto"/>
          <w:sz w:val="32"/>
          <w:szCs w:val="32"/>
          <w:highlight w:val="none"/>
        </w:rPr>
      </w:pPr>
      <w:r>
        <w:rPr>
          <w:rFonts w:hint="eastAsia"/>
          <w:b/>
          <w:bCs/>
          <w:color w:val="auto"/>
          <w:sz w:val="32"/>
          <w:szCs w:val="32"/>
          <w:highlight w:val="none"/>
        </w:rPr>
        <w:br w:type="page"/>
      </w:r>
    </w:p>
    <w:p w14:paraId="68D8DE81">
      <w:pPr>
        <w:jc w:val="center"/>
        <w:rPr>
          <w:b/>
          <w:bCs/>
          <w:color w:val="auto"/>
          <w:sz w:val="32"/>
          <w:szCs w:val="32"/>
          <w:highlight w:val="none"/>
        </w:rPr>
      </w:pPr>
      <w:r>
        <w:rPr>
          <w:rFonts w:hint="eastAsia"/>
          <w:b/>
          <w:bCs/>
          <w:color w:val="auto"/>
          <w:sz w:val="32"/>
          <w:szCs w:val="32"/>
          <w:highlight w:val="none"/>
        </w:rPr>
        <w:t>河南省政府采购合同融资政策告知函</w:t>
      </w:r>
    </w:p>
    <w:p w14:paraId="77A538B0">
      <w:pPr>
        <w:jc w:val="center"/>
        <w:rPr>
          <w:b/>
          <w:bCs/>
          <w:color w:val="auto"/>
          <w:sz w:val="32"/>
          <w:szCs w:val="32"/>
          <w:highlight w:val="none"/>
        </w:rPr>
      </w:pPr>
    </w:p>
    <w:p w14:paraId="516B6CE7">
      <w:pPr>
        <w:spacing w:line="360" w:lineRule="auto"/>
        <w:jc w:val="left"/>
        <w:rPr>
          <w:color w:val="auto"/>
          <w:sz w:val="28"/>
          <w:szCs w:val="28"/>
          <w:highlight w:val="none"/>
        </w:rPr>
      </w:pPr>
      <w:r>
        <w:rPr>
          <w:rFonts w:hint="eastAsia"/>
          <w:color w:val="auto"/>
          <w:sz w:val="28"/>
          <w:szCs w:val="28"/>
          <w:highlight w:val="none"/>
        </w:rPr>
        <w:t>各供应商：</w:t>
      </w:r>
    </w:p>
    <w:p w14:paraId="5731053E">
      <w:pPr>
        <w:spacing w:line="360" w:lineRule="auto"/>
        <w:ind w:firstLine="560" w:firstLineChars="200"/>
        <w:jc w:val="left"/>
        <w:rPr>
          <w:color w:val="auto"/>
          <w:sz w:val="28"/>
          <w:szCs w:val="28"/>
          <w:highlight w:val="none"/>
        </w:rPr>
      </w:pPr>
      <w:r>
        <w:rPr>
          <w:rFonts w:hint="eastAsia"/>
          <w:color w:val="auto"/>
          <w:sz w:val="28"/>
          <w:szCs w:val="28"/>
          <w:highlight w:val="none"/>
        </w:rPr>
        <w:t>欢迎贵公司参与河南省政府采购活动！</w:t>
      </w:r>
    </w:p>
    <w:p w14:paraId="630132C3">
      <w:pPr>
        <w:spacing w:line="360" w:lineRule="auto"/>
        <w:ind w:firstLine="560" w:firstLineChars="200"/>
        <w:jc w:val="left"/>
        <w:rPr>
          <w:color w:val="auto"/>
          <w:sz w:val="28"/>
          <w:szCs w:val="28"/>
          <w:highlight w:val="none"/>
        </w:rPr>
      </w:pPr>
      <w:r>
        <w:rPr>
          <w:rFonts w:hint="eastAsia"/>
          <w:color w:val="auto"/>
          <w:sz w:val="28"/>
          <w:szCs w:val="28"/>
          <w:highlight w:val="none"/>
        </w:rPr>
        <w:t>政府采购合同融资是河南省财政厅支持中小微企业发展，针对参与政府采购活动的供应商融资难、融资贵问题推出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4E96E11">
      <w:pPr>
        <w:spacing w:line="360" w:lineRule="auto"/>
        <w:ind w:firstLine="560" w:firstLineChars="200"/>
        <w:jc w:val="left"/>
        <w:rPr>
          <w:color w:val="auto"/>
          <w:sz w:val="28"/>
          <w:szCs w:val="28"/>
          <w:highlight w:val="none"/>
        </w:rPr>
      </w:pPr>
      <w:r>
        <w:rPr>
          <w:rFonts w:hint="eastAsia"/>
          <w:color w:val="auto"/>
          <w:sz w:val="28"/>
          <w:szCs w:val="28"/>
          <w:highlight w:val="none"/>
        </w:rPr>
        <w:t>贷款渠道和提供贷款的金融机构，可在河南省政府采购网“河南省政府采购合同融资平台”查询联系。</w:t>
      </w:r>
    </w:p>
    <w:p w14:paraId="769F2CCD">
      <w:pPr>
        <w:rPr>
          <w:color w:val="auto"/>
          <w:highlight w:val="none"/>
        </w:rPr>
      </w:pPr>
      <w:r>
        <w:rPr>
          <w:rFonts w:hint="eastAsia" w:ascii="宋体" w:hAnsi="宋体" w:cs="宋体"/>
          <w:color w:val="auto"/>
          <w:kern w:val="0"/>
          <w:sz w:val="24"/>
          <w:highlight w:val="none"/>
        </w:rPr>
        <w:drawing>
          <wp:anchor distT="0" distB="0" distL="114300" distR="114300" simplePos="0" relativeHeight="251659264" behindDoc="0" locked="0" layoutInCell="1" allowOverlap="1">
            <wp:simplePos x="0" y="0"/>
            <wp:positionH relativeFrom="page">
              <wp:posOffset>1360805</wp:posOffset>
            </wp:positionH>
            <wp:positionV relativeFrom="page">
              <wp:posOffset>5725795</wp:posOffset>
            </wp:positionV>
            <wp:extent cx="4453255" cy="3813175"/>
            <wp:effectExtent l="0" t="0" r="12065" b="12065"/>
            <wp:wrapNone/>
            <wp:docPr id="2" name="图片 13" descr="1607567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1607567798(1)"/>
                    <pic:cNvPicPr>
                      <a:picLocks noChangeAspect="1"/>
                    </pic:cNvPicPr>
                  </pic:nvPicPr>
                  <pic:blipFill>
                    <a:blip r:embed="rId9"/>
                    <a:stretch>
                      <a:fillRect/>
                    </a:stretch>
                  </pic:blipFill>
                  <pic:spPr>
                    <a:xfrm>
                      <a:off x="0" y="0"/>
                      <a:ext cx="4453255" cy="3813175"/>
                    </a:xfrm>
                    <a:prstGeom prst="rect">
                      <a:avLst/>
                    </a:prstGeom>
                    <a:noFill/>
                    <a:ln>
                      <a:noFill/>
                    </a:ln>
                  </pic:spPr>
                </pic:pic>
              </a:graphicData>
            </a:graphic>
          </wp:anchor>
        </w:drawing>
      </w:r>
      <w:r>
        <w:rPr>
          <w:rFonts w:hint="eastAsia" w:ascii="宋体" w:hAnsi="宋体"/>
          <w:color w:val="auto"/>
          <w:highlight w:val="none"/>
        </w:rPr>
        <w:br w:type="page"/>
      </w:r>
    </w:p>
    <w:p w14:paraId="25550394">
      <w:pPr>
        <w:pStyle w:val="8"/>
        <w:jc w:val="center"/>
        <w:rPr>
          <w:rFonts w:ascii="宋体" w:hAnsi="宋体" w:cs="宋体"/>
          <w:b/>
          <w:color w:val="auto"/>
          <w:sz w:val="32"/>
          <w:highlight w:val="none"/>
        </w:rPr>
      </w:pPr>
      <w:r>
        <w:rPr>
          <w:rFonts w:hint="eastAsia" w:ascii="宋体" w:hAnsi="宋体" w:cs="宋体"/>
          <w:b/>
          <w:color w:val="auto"/>
          <w:sz w:val="32"/>
          <w:highlight w:val="none"/>
        </w:rPr>
        <w:t>目     录</w:t>
      </w:r>
      <w:bookmarkEnd w:id="1"/>
      <w:bookmarkEnd w:id="2"/>
    </w:p>
    <w:p w14:paraId="5A0454A3">
      <w:pPr>
        <w:pStyle w:val="19"/>
        <w:tabs>
          <w:tab w:val="right" w:leader="dot" w:pos="9045"/>
        </w:tabs>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_Toc3393 </w:instrText>
      </w:r>
      <w:r>
        <w:rPr>
          <w:rFonts w:hint="eastAsia" w:ascii="宋体" w:hAnsi="宋体" w:cs="宋体"/>
          <w:color w:val="auto"/>
          <w:szCs w:val="24"/>
          <w:highlight w:val="none"/>
        </w:rPr>
        <w:fldChar w:fldCharType="separate"/>
      </w:r>
      <w:r>
        <w:rPr>
          <w:rFonts w:hint="eastAsia" w:ascii="宋体" w:hAnsi="宋体" w:cs="宋体"/>
          <w:color w:val="auto"/>
          <w:szCs w:val="5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_Toc3393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szCs w:val="24"/>
          <w:highlight w:val="none"/>
        </w:rPr>
        <w:fldChar w:fldCharType="end"/>
      </w:r>
    </w:p>
    <w:p w14:paraId="48B27506">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_Toc17958 </w:instrText>
      </w:r>
      <w:r>
        <w:rPr>
          <w:rFonts w:hint="eastAsia" w:ascii="宋体" w:hAnsi="宋体" w:cs="宋体"/>
          <w:color w:val="auto"/>
          <w:highlight w:val="none"/>
        </w:rPr>
        <w:fldChar w:fldCharType="separate"/>
      </w:r>
      <w:r>
        <w:rPr>
          <w:rFonts w:hint="eastAsia"/>
          <w:color w:val="auto"/>
          <w:szCs w:val="52"/>
          <w:highlight w:val="none"/>
        </w:rPr>
        <w:t xml:space="preserve">第二章 </w:t>
      </w:r>
      <w:r>
        <w:rPr>
          <w:rFonts w:hint="eastAsia"/>
          <w:color w:val="auto"/>
          <w:szCs w:val="52"/>
          <w:highlight w:val="none"/>
          <w:lang w:eastAsia="zh-CN"/>
        </w:rPr>
        <w:t>供应商</w:t>
      </w:r>
      <w:r>
        <w:rPr>
          <w:rFonts w:hint="eastAsia"/>
          <w:color w:val="auto"/>
          <w:szCs w:val="52"/>
          <w:highlight w:val="none"/>
        </w:rPr>
        <w:t>须知</w:t>
      </w:r>
      <w:r>
        <w:rPr>
          <w:color w:val="auto"/>
          <w:highlight w:val="none"/>
        </w:rPr>
        <w:tab/>
      </w:r>
      <w:r>
        <w:rPr>
          <w:color w:val="auto"/>
          <w:highlight w:val="none"/>
        </w:rPr>
        <w:fldChar w:fldCharType="begin"/>
      </w:r>
      <w:r>
        <w:rPr>
          <w:color w:val="auto"/>
          <w:highlight w:val="none"/>
        </w:rPr>
        <w:instrText xml:space="preserve"> PAGEREF _Toc17958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6E411E58">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_Toc4840 </w:instrText>
      </w:r>
      <w:r>
        <w:rPr>
          <w:rFonts w:hint="eastAsia" w:ascii="宋体" w:hAnsi="宋体" w:cs="宋体"/>
          <w:color w:val="auto"/>
          <w:highlight w:val="none"/>
        </w:rPr>
        <w:fldChar w:fldCharType="separate"/>
      </w:r>
      <w:r>
        <w:rPr>
          <w:rFonts w:hint="eastAsia"/>
          <w:color w:val="auto"/>
          <w:szCs w:val="36"/>
          <w:highlight w:val="none"/>
          <w:lang w:eastAsia="zh-CN"/>
        </w:rPr>
        <w:t>供应商</w:t>
      </w:r>
      <w:r>
        <w:rPr>
          <w:rFonts w:hint="eastAsia"/>
          <w:color w:val="auto"/>
          <w:szCs w:val="36"/>
          <w:highlight w:val="none"/>
        </w:rPr>
        <w:t>须知前附表</w:t>
      </w:r>
      <w:r>
        <w:rPr>
          <w:color w:val="auto"/>
          <w:highlight w:val="none"/>
        </w:rPr>
        <w:tab/>
      </w:r>
      <w:r>
        <w:rPr>
          <w:color w:val="auto"/>
          <w:highlight w:val="none"/>
        </w:rPr>
        <w:fldChar w:fldCharType="begin"/>
      </w:r>
      <w:r>
        <w:rPr>
          <w:color w:val="auto"/>
          <w:highlight w:val="none"/>
        </w:rPr>
        <w:instrText xml:space="preserve"> PAGEREF _Toc4840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69893AE9">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_Toc12350 </w:instrText>
      </w:r>
      <w:r>
        <w:rPr>
          <w:rFonts w:hint="eastAsia" w:ascii="宋体" w:hAnsi="宋体" w:cs="宋体"/>
          <w:color w:val="auto"/>
          <w:highlight w:val="none"/>
        </w:rPr>
        <w:fldChar w:fldCharType="separate"/>
      </w:r>
      <w:r>
        <w:rPr>
          <w:rFonts w:hint="eastAsia" w:ascii="宋体" w:hAnsi="宋体"/>
          <w:bCs/>
          <w:color w:val="auto"/>
          <w:szCs w:val="28"/>
          <w:highlight w:val="none"/>
        </w:rPr>
        <w:t>1. 总则</w:t>
      </w:r>
      <w:r>
        <w:rPr>
          <w:color w:val="auto"/>
          <w:highlight w:val="none"/>
        </w:rPr>
        <w:tab/>
      </w:r>
      <w:r>
        <w:rPr>
          <w:color w:val="auto"/>
          <w:highlight w:val="none"/>
        </w:rPr>
        <w:fldChar w:fldCharType="begin"/>
      </w:r>
      <w:r>
        <w:rPr>
          <w:color w:val="auto"/>
          <w:highlight w:val="none"/>
        </w:rPr>
        <w:instrText xml:space="preserve"> PAGEREF _Toc12350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45ADE080">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_Toc20380 </w:instrText>
      </w:r>
      <w:r>
        <w:rPr>
          <w:rFonts w:hint="eastAsia" w:ascii="宋体" w:hAnsi="宋体" w:cs="宋体"/>
          <w:color w:val="auto"/>
          <w:highlight w:val="none"/>
        </w:rPr>
        <w:fldChar w:fldCharType="separate"/>
      </w:r>
      <w:r>
        <w:rPr>
          <w:rFonts w:hint="eastAsia" w:ascii="宋体" w:hAnsi="宋体"/>
          <w:bCs/>
          <w:color w:val="auto"/>
          <w:szCs w:val="28"/>
          <w:highlight w:val="none"/>
        </w:rPr>
        <w:t>2. 磋商文件</w:t>
      </w:r>
      <w:r>
        <w:rPr>
          <w:color w:val="auto"/>
          <w:highlight w:val="none"/>
        </w:rPr>
        <w:tab/>
      </w:r>
      <w:r>
        <w:rPr>
          <w:color w:val="auto"/>
          <w:highlight w:val="none"/>
        </w:rPr>
        <w:fldChar w:fldCharType="begin"/>
      </w:r>
      <w:r>
        <w:rPr>
          <w:color w:val="auto"/>
          <w:highlight w:val="none"/>
        </w:rPr>
        <w:instrText xml:space="preserve"> PAGEREF _Toc20380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2645A969">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_Toc17618 </w:instrText>
      </w:r>
      <w:r>
        <w:rPr>
          <w:rFonts w:hint="eastAsia" w:ascii="宋体" w:hAnsi="宋体" w:cs="宋体"/>
          <w:color w:val="auto"/>
          <w:highlight w:val="none"/>
        </w:rPr>
        <w:fldChar w:fldCharType="separate"/>
      </w:r>
      <w:r>
        <w:rPr>
          <w:rFonts w:hint="eastAsia" w:ascii="宋体" w:hAnsi="宋体"/>
          <w:bCs/>
          <w:color w:val="auto"/>
          <w:szCs w:val="28"/>
          <w:highlight w:val="none"/>
        </w:rPr>
        <w:t>3. 响应文件</w:t>
      </w:r>
      <w:r>
        <w:rPr>
          <w:color w:val="auto"/>
          <w:highlight w:val="none"/>
        </w:rPr>
        <w:tab/>
      </w:r>
      <w:r>
        <w:rPr>
          <w:color w:val="auto"/>
          <w:highlight w:val="none"/>
        </w:rPr>
        <w:fldChar w:fldCharType="begin"/>
      </w:r>
      <w:r>
        <w:rPr>
          <w:color w:val="auto"/>
          <w:highlight w:val="none"/>
        </w:rPr>
        <w:instrText xml:space="preserve"> PAGEREF _Toc17618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17230452">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_Toc32493 </w:instrText>
      </w:r>
      <w:r>
        <w:rPr>
          <w:rFonts w:hint="eastAsia" w:ascii="宋体" w:hAnsi="宋体" w:cs="宋体"/>
          <w:color w:val="auto"/>
          <w:highlight w:val="none"/>
        </w:rPr>
        <w:fldChar w:fldCharType="separate"/>
      </w:r>
      <w:r>
        <w:rPr>
          <w:rFonts w:hint="eastAsia" w:ascii="宋体" w:hAnsi="宋体"/>
          <w:bCs/>
          <w:color w:val="auto"/>
          <w:szCs w:val="28"/>
          <w:highlight w:val="none"/>
        </w:rPr>
        <w:t>4. 开标</w:t>
      </w:r>
      <w:r>
        <w:rPr>
          <w:color w:val="auto"/>
          <w:highlight w:val="none"/>
        </w:rPr>
        <w:tab/>
      </w:r>
      <w:r>
        <w:rPr>
          <w:color w:val="auto"/>
          <w:highlight w:val="none"/>
        </w:rPr>
        <w:fldChar w:fldCharType="begin"/>
      </w:r>
      <w:r>
        <w:rPr>
          <w:color w:val="auto"/>
          <w:highlight w:val="none"/>
        </w:rPr>
        <w:instrText xml:space="preserve"> PAGEREF _Toc32493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2AC4EEC3">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_Toc2135 </w:instrText>
      </w:r>
      <w:r>
        <w:rPr>
          <w:rFonts w:hint="eastAsia" w:ascii="宋体" w:hAnsi="宋体" w:cs="宋体"/>
          <w:color w:val="auto"/>
          <w:highlight w:val="none"/>
        </w:rPr>
        <w:fldChar w:fldCharType="separate"/>
      </w:r>
      <w:r>
        <w:rPr>
          <w:rFonts w:hint="eastAsia" w:ascii="宋体" w:hAnsi="宋体"/>
          <w:bCs/>
          <w:color w:val="auto"/>
          <w:szCs w:val="28"/>
          <w:highlight w:val="none"/>
        </w:rPr>
        <w:t>5. 磋商开始</w:t>
      </w:r>
      <w:r>
        <w:rPr>
          <w:color w:val="auto"/>
          <w:highlight w:val="none"/>
        </w:rPr>
        <w:tab/>
      </w:r>
      <w:r>
        <w:rPr>
          <w:color w:val="auto"/>
          <w:highlight w:val="none"/>
        </w:rPr>
        <w:fldChar w:fldCharType="begin"/>
      </w:r>
      <w:r>
        <w:rPr>
          <w:color w:val="auto"/>
          <w:highlight w:val="none"/>
        </w:rPr>
        <w:instrText xml:space="preserve"> PAGEREF _Toc2135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0DE5B8FF">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_Toc30232 </w:instrText>
      </w:r>
      <w:r>
        <w:rPr>
          <w:rFonts w:hint="eastAsia" w:ascii="宋体" w:hAnsi="宋体" w:cs="宋体"/>
          <w:color w:val="auto"/>
          <w:highlight w:val="none"/>
        </w:rPr>
        <w:fldChar w:fldCharType="separate"/>
      </w:r>
      <w:r>
        <w:rPr>
          <w:rFonts w:hint="eastAsia" w:ascii="宋体" w:hAnsi="宋体"/>
          <w:bCs/>
          <w:color w:val="auto"/>
          <w:szCs w:val="28"/>
          <w:highlight w:val="none"/>
        </w:rPr>
        <w:t>6. 磋商小组</w:t>
      </w:r>
      <w:r>
        <w:rPr>
          <w:color w:val="auto"/>
          <w:highlight w:val="none"/>
        </w:rPr>
        <w:tab/>
      </w:r>
      <w:r>
        <w:rPr>
          <w:color w:val="auto"/>
          <w:highlight w:val="none"/>
        </w:rPr>
        <w:fldChar w:fldCharType="begin"/>
      </w:r>
      <w:r>
        <w:rPr>
          <w:color w:val="auto"/>
          <w:highlight w:val="none"/>
        </w:rPr>
        <w:instrText xml:space="preserve"> PAGEREF _Toc30232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3322EEE6">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_Toc15172 </w:instrText>
      </w:r>
      <w:r>
        <w:rPr>
          <w:rFonts w:hint="eastAsia" w:ascii="宋体" w:hAnsi="宋体" w:cs="宋体"/>
          <w:color w:val="auto"/>
          <w:highlight w:val="none"/>
        </w:rPr>
        <w:fldChar w:fldCharType="separate"/>
      </w:r>
      <w:r>
        <w:rPr>
          <w:rFonts w:hint="eastAsia" w:ascii="宋体" w:hAnsi="宋体"/>
          <w:bCs/>
          <w:color w:val="auto"/>
          <w:szCs w:val="28"/>
          <w:highlight w:val="none"/>
        </w:rPr>
        <w:t>7. 合同授予</w:t>
      </w:r>
      <w:r>
        <w:rPr>
          <w:color w:val="auto"/>
          <w:highlight w:val="none"/>
        </w:rPr>
        <w:tab/>
      </w:r>
      <w:r>
        <w:rPr>
          <w:color w:val="auto"/>
          <w:highlight w:val="none"/>
        </w:rPr>
        <w:fldChar w:fldCharType="begin"/>
      </w:r>
      <w:r>
        <w:rPr>
          <w:color w:val="auto"/>
          <w:highlight w:val="none"/>
        </w:rPr>
        <w:instrText xml:space="preserve"> PAGEREF _Toc15172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6F5F46C6">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_Toc31524 </w:instrText>
      </w:r>
      <w:r>
        <w:rPr>
          <w:rFonts w:hint="eastAsia" w:ascii="宋体" w:hAnsi="宋体" w:cs="宋体"/>
          <w:color w:val="auto"/>
          <w:highlight w:val="none"/>
        </w:rPr>
        <w:fldChar w:fldCharType="separate"/>
      </w:r>
      <w:r>
        <w:rPr>
          <w:rFonts w:hint="eastAsia" w:ascii="宋体" w:hAnsi="宋体"/>
          <w:bCs/>
          <w:color w:val="auto"/>
          <w:szCs w:val="28"/>
          <w:highlight w:val="none"/>
        </w:rPr>
        <w:t>8.重新招标</w:t>
      </w:r>
      <w:r>
        <w:rPr>
          <w:color w:val="auto"/>
          <w:highlight w:val="none"/>
        </w:rPr>
        <w:tab/>
      </w:r>
      <w:r>
        <w:rPr>
          <w:color w:val="auto"/>
          <w:highlight w:val="none"/>
        </w:rPr>
        <w:fldChar w:fldCharType="begin"/>
      </w:r>
      <w:r>
        <w:rPr>
          <w:color w:val="auto"/>
          <w:highlight w:val="none"/>
        </w:rPr>
        <w:instrText xml:space="preserve"> PAGEREF _Toc31524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443A1B00">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_Toc7498 </w:instrText>
      </w:r>
      <w:r>
        <w:rPr>
          <w:rFonts w:hint="eastAsia" w:ascii="宋体" w:hAnsi="宋体" w:cs="宋体"/>
          <w:color w:val="auto"/>
          <w:highlight w:val="none"/>
        </w:rPr>
        <w:fldChar w:fldCharType="separate"/>
      </w:r>
      <w:r>
        <w:rPr>
          <w:rFonts w:hint="eastAsia" w:ascii="宋体" w:hAnsi="宋体"/>
          <w:bCs/>
          <w:color w:val="auto"/>
          <w:szCs w:val="28"/>
          <w:highlight w:val="none"/>
        </w:rPr>
        <w:t>9.纪律和监督</w:t>
      </w:r>
      <w:r>
        <w:rPr>
          <w:color w:val="auto"/>
          <w:highlight w:val="none"/>
        </w:rPr>
        <w:tab/>
      </w:r>
      <w:r>
        <w:rPr>
          <w:color w:val="auto"/>
          <w:highlight w:val="none"/>
        </w:rPr>
        <w:fldChar w:fldCharType="begin"/>
      </w:r>
      <w:r>
        <w:rPr>
          <w:color w:val="auto"/>
          <w:highlight w:val="none"/>
        </w:rPr>
        <w:instrText xml:space="preserve"> PAGEREF _Toc7498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29B9FCD3">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_Toc8630 </w:instrText>
      </w:r>
      <w:r>
        <w:rPr>
          <w:rFonts w:hint="eastAsia" w:ascii="宋体" w:hAnsi="宋体" w:cs="宋体"/>
          <w:color w:val="auto"/>
          <w:highlight w:val="none"/>
        </w:rPr>
        <w:fldChar w:fldCharType="separate"/>
      </w:r>
      <w:r>
        <w:rPr>
          <w:rFonts w:hint="eastAsia" w:ascii="宋体" w:hAnsi="宋体"/>
          <w:bCs/>
          <w:color w:val="auto"/>
          <w:szCs w:val="28"/>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_Toc8630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3A3F9104">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_Toc25417 </w:instrText>
      </w:r>
      <w:r>
        <w:rPr>
          <w:rFonts w:hint="eastAsia" w:ascii="宋体" w:hAnsi="宋体" w:cs="宋体"/>
          <w:color w:val="auto"/>
          <w:highlight w:val="none"/>
        </w:rPr>
        <w:fldChar w:fldCharType="separate"/>
      </w:r>
      <w:r>
        <w:rPr>
          <w:rFonts w:hint="eastAsia" w:ascii="宋体" w:hAnsi="宋体" w:cs="宋体"/>
          <w:color w:val="auto"/>
          <w:szCs w:val="52"/>
          <w:highlight w:val="none"/>
        </w:rPr>
        <w:t>第三章 评审办法（综合评分法）</w:t>
      </w:r>
      <w:r>
        <w:rPr>
          <w:color w:val="auto"/>
          <w:highlight w:val="none"/>
        </w:rPr>
        <w:tab/>
      </w:r>
      <w:r>
        <w:rPr>
          <w:color w:val="auto"/>
          <w:highlight w:val="none"/>
        </w:rPr>
        <w:fldChar w:fldCharType="begin"/>
      </w:r>
      <w:r>
        <w:rPr>
          <w:color w:val="auto"/>
          <w:highlight w:val="none"/>
        </w:rPr>
        <w:instrText xml:space="preserve"> PAGEREF _Toc25417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78E25916">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_Toc17335 </w:instrText>
      </w:r>
      <w:r>
        <w:rPr>
          <w:rFonts w:hint="eastAsia" w:ascii="宋体" w:hAnsi="宋体" w:cs="宋体"/>
          <w:color w:val="auto"/>
          <w:highlight w:val="none"/>
        </w:rPr>
        <w:fldChar w:fldCharType="separate"/>
      </w:r>
      <w:r>
        <w:rPr>
          <w:rFonts w:hint="eastAsia" w:ascii="宋体" w:hAnsi="宋体" w:cs="宋体"/>
          <w:color w:val="auto"/>
          <w:szCs w:val="52"/>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_Toc17335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062D69E3">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_Toc15852 </w:instrText>
      </w:r>
      <w:r>
        <w:rPr>
          <w:rFonts w:hint="eastAsia" w:ascii="宋体" w:hAnsi="宋体" w:cs="宋体"/>
          <w:color w:val="auto"/>
          <w:highlight w:val="none"/>
        </w:rPr>
        <w:fldChar w:fldCharType="separate"/>
      </w:r>
      <w:r>
        <w:rPr>
          <w:rFonts w:hint="eastAsia" w:ascii="宋体" w:hAnsi="宋体" w:cs="宋体"/>
          <w:color w:val="auto"/>
          <w:szCs w:val="52"/>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_Toc15852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55BF6DCC">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_Toc7172 </w:instrText>
      </w:r>
      <w:r>
        <w:rPr>
          <w:rFonts w:hint="eastAsia" w:ascii="宋体" w:hAnsi="宋体" w:cs="宋体"/>
          <w:color w:val="auto"/>
          <w:highlight w:val="none"/>
        </w:rPr>
        <w:fldChar w:fldCharType="separate"/>
      </w:r>
      <w:r>
        <w:rPr>
          <w:rFonts w:hint="eastAsia" w:ascii="宋体" w:hAnsi="宋体" w:cs="宋体"/>
          <w:color w:val="auto"/>
          <w:szCs w:val="52"/>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_Toc7172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7EC26D2F">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_Toc8766 </w:instrText>
      </w:r>
      <w:r>
        <w:rPr>
          <w:rFonts w:hint="eastAsia" w:ascii="宋体" w:hAnsi="宋体" w:cs="宋体"/>
          <w:color w:val="auto"/>
          <w:highlight w:val="none"/>
        </w:rPr>
        <w:fldChar w:fldCharType="separate"/>
      </w:r>
      <w:r>
        <w:rPr>
          <w:rFonts w:hint="eastAsia" w:ascii="宋体" w:hAnsi="宋体" w:eastAsia="宋体" w:cs="宋体"/>
          <w:bCs w:val="0"/>
          <w:color w:val="auto"/>
          <w:kern w:val="44"/>
          <w:szCs w:val="52"/>
          <w:highlight w:val="none"/>
          <w:lang w:val="en-US" w:eastAsia="zh-CN" w:bidi="ar-SA"/>
        </w:rPr>
        <w:t xml:space="preserve">第五章  </w:t>
      </w:r>
      <w:r>
        <w:rPr>
          <w:rFonts w:hint="eastAsia" w:ascii="宋体" w:hAnsi="宋体" w:eastAsia="宋体" w:cs="宋体"/>
          <w:bCs w:val="0"/>
          <w:color w:val="auto"/>
          <w:kern w:val="44"/>
          <w:szCs w:val="52"/>
          <w:highlight w:val="none"/>
          <w:lang w:val="en-US" w:eastAsia="zh" w:bidi="ar-SA"/>
        </w:rPr>
        <w:t>项目需求</w:t>
      </w:r>
      <w:r>
        <w:rPr>
          <w:rFonts w:hint="eastAsia" w:ascii="宋体" w:hAnsi="宋体" w:eastAsia="宋体" w:cs="宋体"/>
          <w:bCs w:val="0"/>
          <w:color w:val="auto"/>
          <w:kern w:val="44"/>
          <w:szCs w:val="52"/>
          <w:highlight w:val="none"/>
          <w:lang w:val="en-US" w:eastAsia="zh-CN" w:bidi="ar-SA"/>
        </w:rPr>
        <w:t>及技术要求</w:t>
      </w:r>
      <w:r>
        <w:rPr>
          <w:color w:val="auto"/>
          <w:highlight w:val="none"/>
        </w:rPr>
        <w:tab/>
      </w:r>
      <w:r>
        <w:rPr>
          <w:color w:val="auto"/>
          <w:highlight w:val="none"/>
        </w:rPr>
        <w:fldChar w:fldCharType="begin"/>
      </w:r>
      <w:r>
        <w:rPr>
          <w:color w:val="auto"/>
          <w:highlight w:val="none"/>
        </w:rPr>
        <w:instrText xml:space="preserve"> PAGEREF _Toc8766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cs="宋体"/>
          <w:color w:val="auto"/>
          <w:highlight w:val="none"/>
        </w:rPr>
        <w:fldChar w:fldCharType="end"/>
      </w:r>
    </w:p>
    <w:p w14:paraId="33DE02F6">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_Toc32479 </w:instrText>
      </w:r>
      <w:r>
        <w:rPr>
          <w:rFonts w:hint="eastAsia" w:ascii="宋体" w:hAnsi="宋体" w:cs="宋体"/>
          <w:color w:val="auto"/>
          <w:highlight w:val="none"/>
        </w:rPr>
        <w:fldChar w:fldCharType="separate"/>
      </w:r>
      <w:r>
        <w:rPr>
          <w:rFonts w:hint="eastAsia" w:ascii="宋体" w:hAnsi="宋体" w:eastAsia="宋体" w:cs="宋体"/>
          <w:color w:val="auto"/>
          <w:szCs w:val="28"/>
          <w:highlight w:val="none"/>
        </w:rPr>
        <w:t>1.工程概况：</w:t>
      </w:r>
      <w:r>
        <w:rPr>
          <w:color w:val="auto"/>
          <w:highlight w:val="none"/>
        </w:rPr>
        <w:tab/>
      </w:r>
      <w:r>
        <w:rPr>
          <w:color w:val="auto"/>
          <w:highlight w:val="none"/>
        </w:rPr>
        <w:fldChar w:fldCharType="begin"/>
      </w:r>
      <w:r>
        <w:rPr>
          <w:color w:val="auto"/>
          <w:highlight w:val="none"/>
        </w:rPr>
        <w:instrText xml:space="preserve"> PAGEREF _Toc32479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cs="宋体"/>
          <w:color w:val="auto"/>
          <w:highlight w:val="none"/>
        </w:rPr>
        <w:fldChar w:fldCharType="end"/>
      </w:r>
    </w:p>
    <w:p w14:paraId="5127A9C7">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_Toc23845 </w:instrText>
      </w:r>
      <w:r>
        <w:rPr>
          <w:rFonts w:hint="eastAsia" w:ascii="宋体" w:hAnsi="宋体" w:cs="宋体"/>
          <w:color w:val="auto"/>
          <w:highlight w:val="none"/>
        </w:rPr>
        <w:fldChar w:fldCharType="separate"/>
      </w:r>
      <w:r>
        <w:rPr>
          <w:rFonts w:hint="eastAsia" w:ascii="宋体" w:hAnsi="宋体" w:eastAsia="宋体" w:cs="宋体"/>
          <w:color w:val="auto"/>
          <w:szCs w:val="28"/>
          <w:highlight w:val="none"/>
        </w:rPr>
        <w:t>2.技术要求</w:t>
      </w:r>
      <w:r>
        <w:rPr>
          <w:color w:val="auto"/>
          <w:highlight w:val="none"/>
        </w:rPr>
        <w:tab/>
      </w:r>
      <w:r>
        <w:rPr>
          <w:color w:val="auto"/>
          <w:highlight w:val="none"/>
        </w:rPr>
        <w:fldChar w:fldCharType="begin"/>
      </w:r>
      <w:r>
        <w:rPr>
          <w:color w:val="auto"/>
          <w:highlight w:val="none"/>
        </w:rPr>
        <w:instrText xml:space="preserve"> PAGEREF _Toc23845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cs="宋体"/>
          <w:color w:val="auto"/>
          <w:highlight w:val="none"/>
        </w:rPr>
        <w:fldChar w:fldCharType="end"/>
      </w:r>
    </w:p>
    <w:p w14:paraId="6FFF3B11">
      <w:pPr>
        <w:pStyle w:val="19"/>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_Toc27362 </w:instrText>
      </w:r>
      <w:r>
        <w:rPr>
          <w:rFonts w:hint="eastAsia" w:ascii="宋体" w:hAnsi="宋体" w:cs="宋体"/>
          <w:color w:val="auto"/>
          <w:highlight w:val="none"/>
        </w:rPr>
        <w:fldChar w:fldCharType="separate"/>
      </w:r>
      <w:r>
        <w:rPr>
          <w:rFonts w:hint="eastAsia"/>
          <w:color w:val="auto"/>
          <w:szCs w:val="52"/>
          <w:highlight w:val="none"/>
        </w:rPr>
        <w:t>第</w:t>
      </w:r>
      <w:r>
        <w:rPr>
          <w:rFonts w:hint="eastAsia"/>
          <w:color w:val="auto"/>
          <w:szCs w:val="52"/>
          <w:highlight w:val="none"/>
          <w:lang w:eastAsia="zh-CN"/>
        </w:rPr>
        <w:t>六</w:t>
      </w:r>
      <w:r>
        <w:rPr>
          <w:rFonts w:hint="eastAsia"/>
          <w:color w:val="auto"/>
          <w:szCs w:val="52"/>
          <w:highlight w:val="none"/>
        </w:rPr>
        <w:t>章 竞争性磋商响应文件格式</w:t>
      </w:r>
      <w:r>
        <w:rPr>
          <w:color w:val="auto"/>
          <w:highlight w:val="none"/>
        </w:rPr>
        <w:tab/>
      </w:r>
      <w:r>
        <w:rPr>
          <w:color w:val="auto"/>
          <w:highlight w:val="none"/>
        </w:rPr>
        <w:fldChar w:fldCharType="begin"/>
      </w:r>
      <w:r>
        <w:rPr>
          <w:color w:val="auto"/>
          <w:highlight w:val="none"/>
        </w:rPr>
        <w:instrText xml:space="preserve"> PAGEREF _Toc27362 \h </w:instrText>
      </w:r>
      <w:r>
        <w:rPr>
          <w:color w:val="auto"/>
          <w:highlight w:val="none"/>
        </w:rPr>
        <w:fldChar w:fldCharType="separate"/>
      </w:r>
      <w:r>
        <w:rPr>
          <w:color w:val="auto"/>
          <w:highlight w:val="none"/>
        </w:rPr>
        <w:t>92</w:t>
      </w:r>
      <w:r>
        <w:rPr>
          <w:color w:val="auto"/>
          <w:highlight w:val="none"/>
        </w:rPr>
        <w:fldChar w:fldCharType="end"/>
      </w:r>
      <w:r>
        <w:rPr>
          <w:rFonts w:hint="eastAsia" w:ascii="宋体" w:hAnsi="宋体" w:cs="宋体"/>
          <w:color w:val="auto"/>
          <w:highlight w:val="none"/>
        </w:rPr>
        <w:fldChar w:fldCharType="end"/>
      </w:r>
    </w:p>
    <w:p w14:paraId="24572AF4">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_Toc21892 </w:instrText>
      </w:r>
      <w:r>
        <w:rPr>
          <w:rFonts w:hint="eastAsia" w:ascii="宋体" w:hAnsi="宋体" w:cs="宋体"/>
          <w:color w:val="auto"/>
          <w:highlight w:val="none"/>
        </w:rPr>
        <w:fldChar w:fldCharType="separate"/>
      </w:r>
      <w:r>
        <w:rPr>
          <w:rFonts w:hint="eastAsia"/>
          <w:color w:val="auto"/>
          <w:highlight w:val="none"/>
        </w:rPr>
        <w:t>一、磋商函及磋商函附录</w:t>
      </w:r>
      <w:r>
        <w:rPr>
          <w:color w:val="auto"/>
          <w:highlight w:val="none"/>
        </w:rPr>
        <w:tab/>
      </w:r>
      <w:r>
        <w:rPr>
          <w:color w:val="auto"/>
          <w:highlight w:val="none"/>
        </w:rPr>
        <w:fldChar w:fldCharType="begin"/>
      </w:r>
      <w:r>
        <w:rPr>
          <w:color w:val="auto"/>
          <w:highlight w:val="none"/>
        </w:rPr>
        <w:instrText xml:space="preserve"> PAGEREF _Toc21892 \h </w:instrText>
      </w:r>
      <w:r>
        <w:rPr>
          <w:color w:val="auto"/>
          <w:highlight w:val="none"/>
        </w:rPr>
        <w:fldChar w:fldCharType="separate"/>
      </w:r>
      <w:r>
        <w:rPr>
          <w:color w:val="auto"/>
          <w:highlight w:val="none"/>
        </w:rPr>
        <w:t>94</w:t>
      </w:r>
      <w:r>
        <w:rPr>
          <w:color w:val="auto"/>
          <w:highlight w:val="none"/>
        </w:rPr>
        <w:fldChar w:fldCharType="end"/>
      </w:r>
      <w:r>
        <w:rPr>
          <w:rFonts w:hint="eastAsia" w:ascii="宋体" w:hAnsi="宋体" w:cs="宋体"/>
          <w:color w:val="auto"/>
          <w:highlight w:val="none"/>
        </w:rPr>
        <w:fldChar w:fldCharType="end"/>
      </w:r>
    </w:p>
    <w:p w14:paraId="47EDAAD6">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_Toc13631 </w:instrText>
      </w:r>
      <w:r>
        <w:rPr>
          <w:rFonts w:hint="eastAsia" w:ascii="宋体" w:hAnsi="宋体" w:cs="宋体"/>
          <w:color w:val="auto"/>
          <w:highlight w:val="none"/>
        </w:rPr>
        <w:fldChar w:fldCharType="separate"/>
      </w:r>
      <w:r>
        <w:rPr>
          <w:rFonts w:hint="default" w:ascii="宋体" w:hAnsi="宋体" w:cs="宋体"/>
          <w:bCs/>
          <w:color w:val="auto"/>
          <w:highlight w:val="none"/>
        </w:rPr>
        <w:t xml:space="preserve">（一） </w:t>
      </w:r>
      <w:r>
        <w:rPr>
          <w:rFonts w:hint="eastAsia" w:ascii="宋体" w:hAnsi="宋体" w:cs="宋体"/>
          <w:bCs/>
          <w:color w:val="auto"/>
          <w:highlight w:val="none"/>
        </w:rPr>
        <w:t>磋商函</w:t>
      </w:r>
      <w:r>
        <w:rPr>
          <w:color w:val="auto"/>
          <w:highlight w:val="none"/>
        </w:rPr>
        <w:tab/>
      </w:r>
      <w:r>
        <w:rPr>
          <w:color w:val="auto"/>
          <w:highlight w:val="none"/>
        </w:rPr>
        <w:fldChar w:fldCharType="begin"/>
      </w:r>
      <w:r>
        <w:rPr>
          <w:color w:val="auto"/>
          <w:highlight w:val="none"/>
        </w:rPr>
        <w:instrText xml:space="preserve"> PAGEREF _Toc13631 \h </w:instrText>
      </w:r>
      <w:r>
        <w:rPr>
          <w:color w:val="auto"/>
          <w:highlight w:val="none"/>
        </w:rPr>
        <w:fldChar w:fldCharType="separate"/>
      </w:r>
      <w:r>
        <w:rPr>
          <w:color w:val="auto"/>
          <w:highlight w:val="none"/>
        </w:rPr>
        <w:t>94</w:t>
      </w:r>
      <w:r>
        <w:rPr>
          <w:color w:val="auto"/>
          <w:highlight w:val="none"/>
        </w:rPr>
        <w:fldChar w:fldCharType="end"/>
      </w:r>
      <w:r>
        <w:rPr>
          <w:rFonts w:hint="eastAsia" w:ascii="宋体" w:hAnsi="宋体" w:cs="宋体"/>
          <w:color w:val="auto"/>
          <w:highlight w:val="none"/>
        </w:rPr>
        <w:fldChar w:fldCharType="end"/>
      </w:r>
    </w:p>
    <w:p w14:paraId="4174E727">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_Toc15454 </w:instrText>
      </w:r>
      <w:r>
        <w:rPr>
          <w:rFonts w:hint="eastAsia" w:ascii="宋体" w:hAnsi="宋体" w:cs="宋体"/>
          <w:color w:val="auto"/>
          <w:highlight w:val="none"/>
        </w:rPr>
        <w:fldChar w:fldCharType="separate"/>
      </w:r>
      <w:r>
        <w:rPr>
          <w:rFonts w:hint="default" w:ascii="宋体" w:hAnsi="宋体" w:cs="宋体"/>
          <w:bCs/>
          <w:color w:val="auto"/>
          <w:highlight w:val="none"/>
        </w:rPr>
        <w:t xml:space="preserve">（二） </w:t>
      </w:r>
      <w:r>
        <w:rPr>
          <w:rFonts w:hint="eastAsia" w:ascii="宋体" w:hAnsi="宋体" w:cs="宋体"/>
          <w:bCs/>
          <w:color w:val="auto"/>
          <w:highlight w:val="none"/>
        </w:rPr>
        <w:t>磋商函附录</w:t>
      </w:r>
      <w:r>
        <w:rPr>
          <w:color w:val="auto"/>
          <w:highlight w:val="none"/>
        </w:rPr>
        <w:tab/>
      </w:r>
      <w:r>
        <w:rPr>
          <w:color w:val="auto"/>
          <w:highlight w:val="none"/>
        </w:rPr>
        <w:fldChar w:fldCharType="begin"/>
      </w:r>
      <w:r>
        <w:rPr>
          <w:color w:val="auto"/>
          <w:highlight w:val="none"/>
        </w:rPr>
        <w:instrText xml:space="preserve"> PAGEREF _Toc15454 \h </w:instrText>
      </w:r>
      <w:r>
        <w:rPr>
          <w:color w:val="auto"/>
          <w:highlight w:val="none"/>
        </w:rPr>
        <w:fldChar w:fldCharType="separate"/>
      </w:r>
      <w:r>
        <w:rPr>
          <w:color w:val="auto"/>
          <w:highlight w:val="none"/>
        </w:rPr>
        <w:t>95</w:t>
      </w:r>
      <w:r>
        <w:rPr>
          <w:color w:val="auto"/>
          <w:highlight w:val="none"/>
        </w:rPr>
        <w:fldChar w:fldCharType="end"/>
      </w:r>
      <w:r>
        <w:rPr>
          <w:rFonts w:hint="eastAsia" w:ascii="宋体" w:hAnsi="宋体" w:cs="宋体"/>
          <w:color w:val="auto"/>
          <w:highlight w:val="none"/>
        </w:rPr>
        <w:fldChar w:fldCharType="end"/>
      </w:r>
    </w:p>
    <w:p w14:paraId="5A5006E5">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_Toc25724 </w:instrText>
      </w:r>
      <w:r>
        <w:rPr>
          <w:rFonts w:hint="eastAsia" w:ascii="宋体" w:hAnsi="宋体" w:cs="宋体"/>
          <w:color w:val="auto"/>
          <w:highlight w:val="none"/>
        </w:rPr>
        <w:fldChar w:fldCharType="separate"/>
      </w:r>
      <w:r>
        <w:rPr>
          <w:rFonts w:hint="eastAsia"/>
          <w:color w:val="auto"/>
          <w:highlight w:val="none"/>
        </w:rPr>
        <w:t>二、法定代表身份证明</w:t>
      </w:r>
      <w:r>
        <w:rPr>
          <w:color w:val="auto"/>
          <w:highlight w:val="none"/>
        </w:rPr>
        <w:tab/>
      </w:r>
      <w:r>
        <w:rPr>
          <w:color w:val="auto"/>
          <w:highlight w:val="none"/>
        </w:rPr>
        <w:fldChar w:fldCharType="begin"/>
      </w:r>
      <w:r>
        <w:rPr>
          <w:color w:val="auto"/>
          <w:highlight w:val="none"/>
        </w:rPr>
        <w:instrText xml:space="preserve"> PAGEREF _Toc25724 \h </w:instrText>
      </w:r>
      <w:r>
        <w:rPr>
          <w:color w:val="auto"/>
          <w:highlight w:val="none"/>
        </w:rPr>
        <w:fldChar w:fldCharType="separate"/>
      </w:r>
      <w:r>
        <w:rPr>
          <w:color w:val="auto"/>
          <w:highlight w:val="none"/>
        </w:rPr>
        <w:t>96</w:t>
      </w:r>
      <w:r>
        <w:rPr>
          <w:color w:val="auto"/>
          <w:highlight w:val="none"/>
        </w:rPr>
        <w:fldChar w:fldCharType="end"/>
      </w:r>
      <w:r>
        <w:rPr>
          <w:rFonts w:hint="eastAsia" w:ascii="宋体" w:hAnsi="宋体" w:cs="宋体"/>
          <w:color w:val="auto"/>
          <w:highlight w:val="none"/>
        </w:rPr>
        <w:fldChar w:fldCharType="end"/>
      </w:r>
    </w:p>
    <w:p w14:paraId="1957BDB7">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_Toc25183 </w:instrText>
      </w:r>
      <w:r>
        <w:rPr>
          <w:rFonts w:hint="eastAsia" w:ascii="宋体" w:hAnsi="宋体" w:cs="宋体"/>
          <w:color w:val="auto"/>
          <w:highlight w:val="none"/>
        </w:rPr>
        <w:fldChar w:fldCharType="separate"/>
      </w:r>
      <w:r>
        <w:rPr>
          <w:rFonts w:hint="eastAsia" w:ascii="宋体" w:hAnsi="宋体" w:cs="宋体"/>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_Toc25183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cs="宋体"/>
          <w:color w:val="auto"/>
          <w:highlight w:val="none"/>
        </w:rPr>
        <w:fldChar w:fldCharType="end"/>
      </w:r>
    </w:p>
    <w:p w14:paraId="559DB9D8">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_Toc14832 </w:instrText>
      </w:r>
      <w:r>
        <w:rPr>
          <w:rFonts w:hint="eastAsia" w:ascii="宋体" w:hAnsi="宋体" w:cs="宋体"/>
          <w:color w:val="auto"/>
          <w:highlight w:val="none"/>
        </w:rPr>
        <w:fldChar w:fldCharType="separate"/>
      </w:r>
      <w:r>
        <w:rPr>
          <w:rFonts w:hint="eastAsia"/>
          <w:bCs/>
          <w:color w:val="auto"/>
          <w:highlight w:val="none"/>
        </w:rPr>
        <w:t>四、投标承诺函</w:t>
      </w:r>
      <w:r>
        <w:rPr>
          <w:color w:val="auto"/>
          <w:highlight w:val="none"/>
        </w:rPr>
        <w:tab/>
      </w:r>
      <w:r>
        <w:rPr>
          <w:color w:val="auto"/>
          <w:highlight w:val="none"/>
        </w:rPr>
        <w:fldChar w:fldCharType="begin"/>
      </w:r>
      <w:r>
        <w:rPr>
          <w:color w:val="auto"/>
          <w:highlight w:val="none"/>
        </w:rPr>
        <w:instrText xml:space="preserve"> PAGEREF _Toc14832 \h </w:instrText>
      </w:r>
      <w:r>
        <w:rPr>
          <w:color w:val="auto"/>
          <w:highlight w:val="none"/>
        </w:rPr>
        <w:fldChar w:fldCharType="separate"/>
      </w:r>
      <w:r>
        <w:rPr>
          <w:color w:val="auto"/>
          <w:highlight w:val="none"/>
        </w:rPr>
        <w:t>98</w:t>
      </w:r>
      <w:r>
        <w:rPr>
          <w:color w:val="auto"/>
          <w:highlight w:val="none"/>
        </w:rPr>
        <w:fldChar w:fldCharType="end"/>
      </w:r>
      <w:r>
        <w:rPr>
          <w:rFonts w:hint="eastAsia" w:ascii="宋体" w:hAnsi="宋体" w:cs="宋体"/>
          <w:color w:val="auto"/>
          <w:highlight w:val="none"/>
        </w:rPr>
        <w:fldChar w:fldCharType="end"/>
      </w:r>
    </w:p>
    <w:p w14:paraId="6CADF17C">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_Toc10316 </w:instrText>
      </w:r>
      <w:r>
        <w:rPr>
          <w:rFonts w:hint="eastAsia" w:ascii="宋体" w:hAnsi="宋体" w:cs="宋体"/>
          <w:color w:val="auto"/>
          <w:highlight w:val="none"/>
        </w:rPr>
        <w:fldChar w:fldCharType="separate"/>
      </w:r>
      <w:r>
        <w:rPr>
          <w:rFonts w:hint="eastAsia"/>
          <w:bCs/>
          <w:color w:val="auto"/>
          <w:highlight w:val="none"/>
          <w:lang w:eastAsia="zh"/>
        </w:rPr>
        <w:t>五 、报价清单</w:t>
      </w:r>
      <w:r>
        <w:rPr>
          <w:color w:val="auto"/>
          <w:highlight w:val="none"/>
        </w:rPr>
        <w:tab/>
      </w:r>
      <w:r>
        <w:rPr>
          <w:color w:val="auto"/>
          <w:highlight w:val="none"/>
        </w:rPr>
        <w:fldChar w:fldCharType="begin"/>
      </w:r>
      <w:r>
        <w:rPr>
          <w:color w:val="auto"/>
          <w:highlight w:val="none"/>
        </w:rPr>
        <w:instrText xml:space="preserve"> PAGEREF _Toc10316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cs="宋体"/>
          <w:color w:val="auto"/>
          <w:highlight w:val="none"/>
        </w:rPr>
        <w:fldChar w:fldCharType="end"/>
      </w:r>
    </w:p>
    <w:p w14:paraId="4F02943F">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_Toc23149 </w:instrText>
      </w:r>
      <w:r>
        <w:rPr>
          <w:rFonts w:hint="eastAsia" w:ascii="宋体" w:hAnsi="宋体" w:cs="宋体"/>
          <w:color w:val="auto"/>
          <w:highlight w:val="none"/>
        </w:rPr>
        <w:fldChar w:fldCharType="separate"/>
      </w:r>
      <w:r>
        <w:rPr>
          <w:rFonts w:hint="eastAsia" w:ascii="宋体" w:hAnsi="宋体" w:cs="宋体"/>
          <w:color w:val="auto"/>
          <w:highlight w:val="none"/>
        </w:rPr>
        <w:t>六、资格审查资料</w:t>
      </w:r>
      <w:r>
        <w:rPr>
          <w:color w:val="auto"/>
          <w:highlight w:val="none"/>
        </w:rPr>
        <w:tab/>
      </w:r>
      <w:r>
        <w:rPr>
          <w:color w:val="auto"/>
          <w:highlight w:val="none"/>
        </w:rPr>
        <w:fldChar w:fldCharType="begin"/>
      </w:r>
      <w:r>
        <w:rPr>
          <w:color w:val="auto"/>
          <w:highlight w:val="none"/>
        </w:rPr>
        <w:instrText xml:space="preserve"> PAGEREF _Toc23149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cs="宋体"/>
          <w:color w:val="auto"/>
          <w:highlight w:val="none"/>
        </w:rPr>
        <w:fldChar w:fldCharType="end"/>
      </w:r>
    </w:p>
    <w:p w14:paraId="476FA97D">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_Toc13197 </w:instrText>
      </w:r>
      <w:r>
        <w:rPr>
          <w:rFonts w:hint="eastAsia" w:ascii="宋体" w:hAnsi="宋体" w:cs="宋体"/>
          <w:color w:val="auto"/>
          <w:highlight w:val="none"/>
        </w:rPr>
        <w:fldChar w:fldCharType="separate"/>
      </w:r>
      <w:r>
        <w:rPr>
          <w:rFonts w:hint="eastAsia" w:ascii="宋体" w:hAnsi="宋体" w:cs="宋体"/>
          <w:bCs/>
          <w:color w:val="auto"/>
          <w:highlight w:val="none"/>
        </w:rPr>
        <w:t>（一）</w:t>
      </w:r>
      <w:r>
        <w:rPr>
          <w:rFonts w:hint="eastAsia" w:ascii="宋体" w:hAnsi="宋体" w:cs="宋体"/>
          <w:bCs/>
          <w:color w:val="auto"/>
          <w:highlight w:val="none"/>
          <w:lang w:eastAsia="zh-CN"/>
        </w:rPr>
        <w:t>供应商</w:t>
      </w:r>
      <w:r>
        <w:rPr>
          <w:rFonts w:hint="eastAsia" w:ascii="宋体" w:hAnsi="宋体" w:cs="宋体"/>
          <w:bCs/>
          <w:color w:val="auto"/>
          <w:highlight w:val="none"/>
        </w:rPr>
        <w:t>基本情况表</w:t>
      </w:r>
      <w:r>
        <w:rPr>
          <w:color w:val="auto"/>
          <w:highlight w:val="none"/>
        </w:rPr>
        <w:tab/>
      </w:r>
      <w:r>
        <w:rPr>
          <w:color w:val="auto"/>
          <w:highlight w:val="none"/>
        </w:rPr>
        <w:fldChar w:fldCharType="begin"/>
      </w:r>
      <w:r>
        <w:rPr>
          <w:color w:val="auto"/>
          <w:highlight w:val="none"/>
        </w:rPr>
        <w:instrText xml:space="preserve"> PAGEREF _Toc13197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cs="宋体"/>
          <w:color w:val="auto"/>
          <w:highlight w:val="none"/>
        </w:rPr>
        <w:fldChar w:fldCharType="end"/>
      </w:r>
    </w:p>
    <w:p w14:paraId="0628FADB">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_Toc19668 </w:instrText>
      </w:r>
      <w:r>
        <w:rPr>
          <w:rFonts w:hint="eastAsia" w:ascii="宋体" w:hAnsi="宋体" w:cs="宋体"/>
          <w:color w:val="auto"/>
          <w:highlight w:val="none"/>
        </w:rPr>
        <w:fldChar w:fldCharType="separate"/>
      </w:r>
      <w:r>
        <w:rPr>
          <w:rFonts w:hint="eastAsia" w:ascii="宋体" w:hAnsi="宋体" w:cs="宋体"/>
          <w:bCs/>
          <w:color w:val="auto"/>
          <w:highlight w:val="none"/>
        </w:rPr>
        <w:t>（二）审查资料</w:t>
      </w:r>
      <w:r>
        <w:rPr>
          <w:color w:val="auto"/>
          <w:highlight w:val="none"/>
        </w:rPr>
        <w:tab/>
      </w:r>
      <w:r>
        <w:rPr>
          <w:color w:val="auto"/>
          <w:highlight w:val="none"/>
        </w:rPr>
        <w:fldChar w:fldCharType="begin"/>
      </w:r>
      <w:r>
        <w:rPr>
          <w:color w:val="auto"/>
          <w:highlight w:val="none"/>
        </w:rPr>
        <w:instrText xml:space="preserve"> PAGEREF _Toc19668 \h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cs="宋体"/>
          <w:color w:val="auto"/>
          <w:highlight w:val="none"/>
        </w:rPr>
        <w:fldChar w:fldCharType="end"/>
      </w:r>
    </w:p>
    <w:p w14:paraId="288FC993">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_Toc31098 </w:instrText>
      </w:r>
      <w:r>
        <w:rPr>
          <w:rFonts w:hint="eastAsia" w:ascii="宋体" w:hAnsi="宋体" w:cs="宋体"/>
          <w:color w:val="auto"/>
          <w:highlight w:val="none"/>
        </w:rPr>
        <w:fldChar w:fldCharType="separate"/>
      </w:r>
      <w:r>
        <w:rPr>
          <w:rFonts w:hint="eastAsia"/>
          <w:color w:val="auto"/>
          <w:highlight w:val="none"/>
        </w:rPr>
        <w:t>七、技术部分</w:t>
      </w:r>
      <w:r>
        <w:rPr>
          <w:color w:val="auto"/>
          <w:highlight w:val="none"/>
        </w:rPr>
        <w:tab/>
      </w:r>
      <w:r>
        <w:rPr>
          <w:color w:val="auto"/>
          <w:highlight w:val="none"/>
        </w:rPr>
        <w:fldChar w:fldCharType="begin"/>
      </w:r>
      <w:r>
        <w:rPr>
          <w:color w:val="auto"/>
          <w:highlight w:val="none"/>
        </w:rPr>
        <w:instrText xml:space="preserve"> PAGEREF _Toc31098 \h </w:instrText>
      </w:r>
      <w:r>
        <w:rPr>
          <w:color w:val="auto"/>
          <w:highlight w:val="none"/>
        </w:rPr>
        <w:fldChar w:fldCharType="separate"/>
      </w:r>
      <w:r>
        <w:rPr>
          <w:color w:val="auto"/>
          <w:highlight w:val="none"/>
        </w:rPr>
        <w:t>111</w:t>
      </w:r>
      <w:r>
        <w:rPr>
          <w:color w:val="auto"/>
          <w:highlight w:val="none"/>
        </w:rPr>
        <w:fldChar w:fldCharType="end"/>
      </w:r>
      <w:r>
        <w:rPr>
          <w:rFonts w:hint="eastAsia" w:ascii="宋体" w:hAnsi="宋体" w:cs="宋体"/>
          <w:color w:val="auto"/>
          <w:highlight w:val="none"/>
        </w:rPr>
        <w:fldChar w:fldCharType="end"/>
      </w:r>
    </w:p>
    <w:p w14:paraId="13653739">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_Toc5830 </w:instrText>
      </w:r>
      <w:r>
        <w:rPr>
          <w:rFonts w:hint="eastAsia" w:ascii="宋体" w:hAnsi="宋体" w:cs="宋体"/>
          <w:color w:val="auto"/>
          <w:highlight w:val="none"/>
        </w:rPr>
        <w:fldChar w:fldCharType="separate"/>
      </w:r>
      <w:r>
        <w:rPr>
          <w:rFonts w:hint="eastAsia" w:ascii="宋体" w:hAnsi="宋体" w:cs="宋体"/>
          <w:bCs/>
          <w:color w:val="auto"/>
          <w:highlight w:val="none"/>
          <w:lang w:eastAsia="zh-CN"/>
        </w:rPr>
        <w:t>一</w:t>
      </w:r>
      <w:r>
        <w:rPr>
          <w:rFonts w:hint="eastAsia" w:ascii="宋体" w:hAnsi="宋体" w:cs="宋体"/>
          <w:bCs/>
          <w:color w:val="auto"/>
          <w:highlight w:val="none"/>
        </w:rPr>
        <w:t>、设计方案</w:t>
      </w:r>
      <w:r>
        <w:rPr>
          <w:color w:val="auto"/>
          <w:highlight w:val="none"/>
        </w:rPr>
        <w:tab/>
      </w:r>
      <w:r>
        <w:rPr>
          <w:color w:val="auto"/>
          <w:highlight w:val="none"/>
        </w:rPr>
        <w:fldChar w:fldCharType="begin"/>
      </w:r>
      <w:r>
        <w:rPr>
          <w:color w:val="auto"/>
          <w:highlight w:val="none"/>
        </w:rPr>
        <w:instrText xml:space="preserve"> PAGEREF _Toc5830 \h </w:instrText>
      </w:r>
      <w:r>
        <w:rPr>
          <w:color w:val="auto"/>
          <w:highlight w:val="none"/>
        </w:rPr>
        <w:fldChar w:fldCharType="separate"/>
      </w:r>
      <w:r>
        <w:rPr>
          <w:color w:val="auto"/>
          <w:highlight w:val="none"/>
        </w:rPr>
        <w:t>111</w:t>
      </w:r>
      <w:r>
        <w:rPr>
          <w:color w:val="auto"/>
          <w:highlight w:val="none"/>
        </w:rPr>
        <w:fldChar w:fldCharType="end"/>
      </w:r>
      <w:r>
        <w:rPr>
          <w:rFonts w:hint="eastAsia" w:ascii="宋体" w:hAnsi="宋体" w:cs="宋体"/>
          <w:color w:val="auto"/>
          <w:highlight w:val="none"/>
        </w:rPr>
        <w:fldChar w:fldCharType="end"/>
      </w:r>
    </w:p>
    <w:p w14:paraId="6FA55795">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_Toc28440 </w:instrText>
      </w:r>
      <w:r>
        <w:rPr>
          <w:rFonts w:hint="eastAsia" w:ascii="宋体" w:hAnsi="宋体" w:cs="宋体"/>
          <w:color w:val="auto"/>
          <w:highlight w:val="none"/>
        </w:rPr>
        <w:fldChar w:fldCharType="separate"/>
      </w:r>
      <w:r>
        <w:rPr>
          <w:rFonts w:hint="eastAsia" w:ascii="宋体" w:hAnsi="宋体" w:cs="宋体"/>
          <w:bCs/>
          <w:color w:val="auto"/>
          <w:highlight w:val="none"/>
          <w:lang w:eastAsia="zh-CN"/>
        </w:rPr>
        <w:t>二、施工方案</w:t>
      </w:r>
      <w:r>
        <w:rPr>
          <w:color w:val="auto"/>
          <w:highlight w:val="none"/>
        </w:rPr>
        <w:tab/>
      </w:r>
      <w:r>
        <w:rPr>
          <w:color w:val="auto"/>
          <w:highlight w:val="none"/>
        </w:rPr>
        <w:fldChar w:fldCharType="begin"/>
      </w:r>
      <w:r>
        <w:rPr>
          <w:color w:val="auto"/>
          <w:highlight w:val="none"/>
        </w:rPr>
        <w:instrText xml:space="preserve"> PAGEREF _Toc28440 \h </w:instrText>
      </w:r>
      <w:r>
        <w:rPr>
          <w:color w:val="auto"/>
          <w:highlight w:val="none"/>
        </w:rPr>
        <w:fldChar w:fldCharType="separate"/>
      </w:r>
      <w:r>
        <w:rPr>
          <w:color w:val="auto"/>
          <w:highlight w:val="none"/>
        </w:rPr>
        <w:t>111</w:t>
      </w:r>
      <w:r>
        <w:rPr>
          <w:color w:val="auto"/>
          <w:highlight w:val="none"/>
        </w:rPr>
        <w:fldChar w:fldCharType="end"/>
      </w:r>
      <w:r>
        <w:rPr>
          <w:rFonts w:hint="eastAsia" w:ascii="宋体" w:hAnsi="宋体" w:cs="宋体"/>
          <w:color w:val="auto"/>
          <w:highlight w:val="none"/>
        </w:rPr>
        <w:fldChar w:fldCharType="end"/>
      </w:r>
    </w:p>
    <w:p w14:paraId="1564E508">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_Toc18349 </w:instrText>
      </w:r>
      <w:r>
        <w:rPr>
          <w:rFonts w:hint="eastAsia" w:ascii="宋体" w:hAnsi="宋体" w:cs="宋体"/>
          <w:color w:val="auto"/>
          <w:highlight w:val="none"/>
        </w:rPr>
        <w:fldChar w:fldCharType="separate"/>
      </w:r>
      <w:r>
        <w:rPr>
          <w:rFonts w:hint="eastAsia"/>
          <w:color w:val="auto"/>
          <w:highlight w:val="none"/>
        </w:rPr>
        <w:t>八、</w:t>
      </w:r>
      <w:r>
        <w:rPr>
          <w:rFonts w:hint="eastAsia"/>
          <w:color w:val="auto"/>
          <w:highlight w:val="none"/>
          <w:lang w:val="en-US" w:eastAsia="zh-CN"/>
        </w:rPr>
        <w:t>综合</w:t>
      </w:r>
      <w:r>
        <w:rPr>
          <w:rFonts w:hint="eastAsia"/>
          <w:color w:val="auto"/>
          <w:highlight w:val="none"/>
        </w:rPr>
        <w:t>部分</w:t>
      </w:r>
      <w:r>
        <w:rPr>
          <w:color w:val="auto"/>
          <w:highlight w:val="none"/>
        </w:rPr>
        <w:tab/>
      </w:r>
      <w:r>
        <w:rPr>
          <w:color w:val="auto"/>
          <w:highlight w:val="none"/>
        </w:rPr>
        <w:fldChar w:fldCharType="begin"/>
      </w:r>
      <w:r>
        <w:rPr>
          <w:color w:val="auto"/>
          <w:highlight w:val="none"/>
        </w:rPr>
        <w:instrText xml:space="preserve"> PAGEREF _Toc18349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cs="宋体"/>
          <w:color w:val="auto"/>
          <w:highlight w:val="none"/>
        </w:rPr>
        <w:fldChar w:fldCharType="end"/>
      </w:r>
    </w:p>
    <w:p w14:paraId="24E747E7">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_Toc700 </w:instrText>
      </w:r>
      <w:r>
        <w:rPr>
          <w:rFonts w:hint="eastAsia" w:ascii="宋体" w:hAnsi="宋体" w:cs="宋体"/>
          <w:color w:val="auto"/>
          <w:highlight w:val="none"/>
        </w:rPr>
        <w:fldChar w:fldCharType="separate"/>
      </w:r>
      <w:r>
        <w:rPr>
          <w:rFonts w:hint="eastAsia" w:ascii="宋体" w:hAnsi="宋体" w:cs="宋体"/>
          <w:bCs/>
          <w:color w:val="auto"/>
          <w:highlight w:val="none"/>
        </w:rPr>
        <w:t>（一）近年完成的类似业绩情况表</w:t>
      </w:r>
      <w:r>
        <w:rPr>
          <w:color w:val="auto"/>
          <w:highlight w:val="none"/>
        </w:rPr>
        <w:tab/>
      </w:r>
      <w:r>
        <w:rPr>
          <w:color w:val="auto"/>
          <w:highlight w:val="none"/>
        </w:rPr>
        <w:fldChar w:fldCharType="begin"/>
      </w:r>
      <w:r>
        <w:rPr>
          <w:color w:val="auto"/>
          <w:highlight w:val="none"/>
        </w:rPr>
        <w:instrText xml:space="preserve"> PAGEREF _Toc700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cs="宋体"/>
          <w:color w:val="auto"/>
          <w:highlight w:val="none"/>
        </w:rPr>
        <w:fldChar w:fldCharType="end"/>
      </w:r>
    </w:p>
    <w:p w14:paraId="32D2C7C9">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_Toc1751 </w:instrText>
      </w:r>
      <w:r>
        <w:rPr>
          <w:rFonts w:hint="eastAsia" w:ascii="宋体" w:hAnsi="宋体" w:cs="宋体"/>
          <w:color w:val="auto"/>
          <w:highlight w:val="none"/>
        </w:rPr>
        <w:fldChar w:fldCharType="separate"/>
      </w:r>
      <w:r>
        <w:rPr>
          <w:rFonts w:hint="eastAsia" w:ascii="宋体" w:hAnsi="宋体" w:cs="宋体"/>
          <w:bCs/>
          <w:color w:val="auto"/>
          <w:highlight w:val="none"/>
        </w:rPr>
        <w:t>（二）项目管理机构组成表</w:t>
      </w:r>
      <w:r>
        <w:rPr>
          <w:color w:val="auto"/>
          <w:highlight w:val="none"/>
        </w:rPr>
        <w:tab/>
      </w:r>
      <w:r>
        <w:rPr>
          <w:color w:val="auto"/>
          <w:highlight w:val="none"/>
        </w:rPr>
        <w:fldChar w:fldCharType="begin"/>
      </w:r>
      <w:r>
        <w:rPr>
          <w:color w:val="auto"/>
          <w:highlight w:val="none"/>
        </w:rPr>
        <w:instrText xml:space="preserve"> PAGEREF _Toc1751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cs="宋体"/>
          <w:color w:val="auto"/>
          <w:highlight w:val="none"/>
        </w:rPr>
        <w:fldChar w:fldCharType="end"/>
      </w:r>
    </w:p>
    <w:p w14:paraId="3DBE051B">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_Toc3998 </w:instrText>
      </w:r>
      <w:r>
        <w:rPr>
          <w:rFonts w:hint="eastAsia" w:ascii="宋体" w:hAnsi="宋体" w:cs="宋体"/>
          <w:color w:val="auto"/>
          <w:highlight w:val="none"/>
        </w:rPr>
        <w:fldChar w:fldCharType="separate"/>
      </w:r>
      <w:r>
        <w:rPr>
          <w:rFonts w:hint="eastAsia" w:ascii="宋体" w:hAnsi="宋体" w:cs="宋体"/>
          <w:bCs/>
          <w:color w:val="auto"/>
          <w:highlight w:val="none"/>
        </w:rPr>
        <w:t>（三）主要人员简历表</w:t>
      </w:r>
      <w:r>
        <w:rPr>
          <w:color w:val="auto"/>
          <w:highlight w:val="none"/>
        </w:rPr>
        <w:tab/>
      </w:r>
      <w:r>
        <w:rPr>
          <w:color w:val="auto"/>
          <w:highlight w:val="none"/>
        </w:rPr>
        <w:fldChar w:fldCharType="begin"/>
      </w:r>
      <w:r>
        <w:rPr>
          <w:color w:val="auto"/>
          <w:highlight w:val="none"/>
        </w:rPr>
        <w:instrText xml:space="preserve"> PAGEREF _Toc3998 \h </w:instrText>
      </w:r>
      <w:r>
        <w:rPr>
          <w:color w:val="auto"/>
          <w:highlight w:val="none"/>
        </w:rPr>
        <w:fldChar w:fldCharType="separate"/>
      </w:r>
      <w:r>
        <w:rPr>
          <w:color w:val="auto"/>
          <w:highlight w:val="none"/>
        </w:rPr>
        <w:t>114</w:t>
      </w:r>
      <w:r>
        <w:rPr>
          <w:color w:val="auto"/>
          <w:highlight w:val="none"/>
        </w:rPr>
        <w:fldChar w:fldCharType="end"/>
      </w:r>
      <w:r>
        <w:rPr>
          <w:rFonts w:hint="eastAsia" w:ascii="宋体" w:hAnsi="宋体" w:cs="宋体"/>
          <w:color w:val="auto"/>
          <w:highlight w:val="none"/>
        </w:rPr>
        <w:fldChar w:fldCharType="end"/>
      </w:r>
    </w:p>
    <w:p w14:paraId="2A92B521">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_Toc22324 </w:instrText>
      </w:r>
      <w:r>
        <w:rPr>
          <w:rFonts w:hint="eastAsia" w:ascii="宋体" w:hAnsi="宋体" w:cs="宋体"/>
          <w:color w:val="auto"/>
          <w:highlight w:val="none"/>
        </w:rPr>
        <w:fldChar w:fldCharType="separate"/>
      </w:r>
      <w:r>
        <w:rPr>
          <w:rFonts w:hint="eastAsia" w:ascii="宋体" w:hAnsi="宋体" w:cs="宋体"/>
          <w:bCs/>
          <w:color w:val="auto"/>
          <w:highlight w:val="none"/>
        </w:rPr>
        <w:t>（四）</w:t>
      </w:r>
      <w:r>
        <w:rPr>
          <w:rFonts w:hint="eastAsia" w:ascii="宋体" w:hAnsi="宋体" w:cs="宋体"/>
          <w:bCs/>
          <w:color w:val="auto"/>
          <w:highlight w:val="none"/>
          <w:lang w:eastAsia="zh"/>
        </w:rPr>
        <w:t>相关承诺书</w:t>
      </w:r>
      <w:r>
        <w:rPr>
          <w:color w:val="auto"/>
          <w:highlight w:val="none"/>
        </w:rPr>
        <w:tab/>
      </w:r>
      <w:r>
        <w:rPr>
          <w:color w:val="auto"/>
          <w:highlight w:val="none"/>
        </w:rPr>
        <w:fldChar w:fldCharType="begin"/>
      </w:r>
      <w:r>
        <w:rPr>
          <w:color w:val="auto"/>
          <w:highlight w:val="none"/>
        </w:rPr>
        <w:instrText xml:space="preserve"> PAGEREF _Toc22324 \h </w:instrText>
      </w:r>
      <w:r>
        <w:rPr>
          <w:color w:val="auto"/>
          <w:highlight w:val="none"/>
        </w:rPr>
        <w:fldChar w:fldCharType="separate"/>
      </w:r>
      <w:r>
        <w:rPr>
          <w:color w:val="auto"/>
          <w:highlight w:val="none"/>
        </w:rPr>
        <w:t>115</w:t>
      </w:r>
      <w:r>
        <w:rPr>
          <w:color w:val="auto"/>
          <w:highlight w:val="none"/>
        </w:rPr>
        <w:fldChar w:fldCharType="end"/>
      </w:r>
      <w:r>
        <w:rPr>
          <w:rFonts w:hint="eastAsia" w:ascii="宋体" w:hAnsi="宋体" w:cs="宋体"/>
          <w:color w:val="auto"/>
          <w:highlight w:val="none"/>
        </w:rPr>
        <w:fldChar w:fldCharType="end"/>
      </w:r>
    </w:p>
    <w:p w14:paraId="65D2DC8B">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_Toc14109 </w:instrText>
      </w:r>
      <w:r>
        <w:rPr>
          <w:rFonts w:hint="eastAsia" w:ascii="宋体" w:hAnsi="宋体" w:cs="宋体"/>
          <w:color w:val="auto"/>
          <w:highlight w:val="none"/>
        </w:rPr>
        <w:fldChar w:fldCharType="separate"/>
      </w:r>
      <w:r>
        <w:rPr>
          <w:rFonts w:hint="eastAsia" w:ascii="宋体" w:hAnsi="宋体" w:cs="宋体"/>
          <w:color w:val="auto"/>
          <w:szCs w:val="28"/>
          <w:highlight w:val="none"/>
        </w:rPr>
        <w:t>九、其他材料</w:t>
      </w:r>
      <w:r>
        <w:rPr>
          <w:color w:val="auto"/>
          <w:highlight w:val="none"/>
        </w:rPr>
        <w:tab/>
      </w:r>
      <w:r>
        <w:rPr>
          <w:color w:val="auto"/>
          <w:highlight w:val="none"/>
        </w:rPr>
        <w:fldChar w:fldCharType="begin"/>
      </w:r>
      <w:r>
        <w:rPr>
          <w:color w:val="auto"/>
          <w:highlight w:val="none"/>
        </w:rPr>
        <w:instrText xml:space="preserve"> PAGEREF _Toc14109 \h </w:instrText>
      </w:r>
      <w:r>
        <w:rPr>
          <w:color w:val="auto"/>
          <w:highlight w:val="none"/>
        </w:rPr>
        <w:fldChar w:fldCharType="separate"/>
      </w:r>
      <w:r>
        <w:rPr>
          <w:color w:val="auto"/>
          <w:highlight w:val="none"/>
        </w:rPr>
        <w:t>116</w:t>
      </w:r>
      <w:r>
        <w:rPr>
          <w:color w:val="auto"/>
          <w:highlight w:val="none"/>
        </w:rPr>
        <w:fldChar w:fldCharType="end"/>
      </w:r>
      <w:r>
        <w:rPr>
          <w:rFonts w:hint="eastAsia" w:ascii="宋体" w:hAnsi="宋体" w:cs="宋体"/>
          <w:color w:val="auto"/>
          <w:highlight w:val="none"/>
        </w:rPr>
        <w:fldChar w:fldCharType="end"/>
      </w:r>
    </w:p>
    <w:p w14:paraId="7E4EF363">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_Toc7697 </w:instrText>
      </w:r>
      <w:r>
        <w:rPr>
          <w:rFonts w:hint="eastAsia" w:ascii="宋体" w:hAnsi="宋体" w:cs="宋体"/>
          <w:color w:val="auto"/>
          <w:highlight w:val="none"/>
        </w:rPr>
        <w:fldChar w:fldCharType="separate"/>
      </w:r>
      <w:r>
        <w:rPr>
          <w:rFonts w:hint="eastAsia" w:ascii="宋体" w:hAnsi="宋体" w:cs="宋体"/>
          <w:bCs/>
          <w:color w:val="auto"/>
          <w:highlight w:val="none"/>
        </w:rPr>
        <w:t>（一）反商业贿赂承诺书</w:t>
      </w:r>
      <w:r>
        <w:rPr>
          <w:color w:val="auto"/>
          <w:highlight w:val="none"/>
        </w:rPr>
        <w:tab/>
      </w:r>
      <w:r>
        <w:rPr>
          <w:color w:val="auto"/>
          <w:highlight w:val="none"/>
        </w:rPr>
        <w:fldChar w:fldCharType="begin"/>
      </w:r>
      <w:r>
        <w:rPr>
          <w:color w:val="auto"/>
          <w:highlight w:val="none"/>
        </w:rPr>
        <w:instrText xml:space="preserve"> PAGEREF _Toc7697 \h </w:instrText>
      </w:r>
      <w:r>
        <w:rPr>
          <w:color w:val="auto"/>
          <w:highlight w:val="none"/>
        </w:rPr>
        <w:fldChar w:fldCharType="separate"/>
      </w:r>
      <w:r>
        <w:rPr>
          <w:color w:val="auto"/>
          <w:highlight w:val="none"/>
        </w:rPr>
        <w:t>116</w:t>
      </w:r>
      <w:r>
        <w:rPr>
          <w:color w:val="auto"/>
          <w:highlight w:val="none"/>
        </w:rPr>
        <w:fldChar w:fldCharType="end"/>
      </w:r>
      <w:r>
        <w:rPr>
          <w:rFonts w:hint="eastAsia" w:ascii="宋体" w:hAnsi="宋体" w:cs="宋体"/>
          <w:color w:val="auto"/>
          <w:highlight w:val="none"/>
        </w:rPr>
        <w:fldChar w:fldCharType="end"/>
      </w:r>
    </w:p>
    <w:p w14:paraId="217D3684">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_Toc5399 </w:instrText>
      </w:r>
      <w:r>
        <w:rPr>
          <w:rFonts w:hint="eastAsia" w:ascii="宋体" w:hAnsi="宋体" w:cs="宋体"/>
          <w:color w:val="auto"/>
          <w:highlight w:val="none"/>
        </w:rPr>
        <w:fldChar w:fldCharType="separate"/>
      </w:r>
      <w:r>
        <w:rPr>
          <w:rFonts w:hint="eastAsia" w:ascii="宋体" w:hAnsi="宋体" w:cs="宋体"/>
          <w:bCs/>
          <w:color w:val="auto"/>
          <w:highlight w:val="none"/>
        </w:rPr>
        <w:t>（二）中小企业声明函</w:t>
      </w:r>
      <w:r>
        <w:rPr>
          <w:color w:val="auto"/>
          <w:highlight w:val="none"/>
        </w:rPr>
        <w:tab/>
      </w:r>
      <w:r>
        <w:rPr>
          <w:color w:val="auto"/>
          <w:highlight w:val="none"/>
        </w:rPr>
        <w:fldChar w:fldCharType="begin"/>
      </w:r>
      <w:r>
        <w:rPr>
          <w:color w:val="auto"/>
          <w:highlight w:val="none"/>
        </w:rPr>
        <w:instrText xml:space="preserve"> PAGEREF _Toc5399 \h </w:instrText>
      </w:r>
      <w:r>
        <w:rPr>
          <w:color w:val="auto"/>
          <w:highlight w:val="none"/>
        </w:rPr>
        <w:fldChar w:fldCharType="separate"/>
      </w:r>
      <w:r>
        <w:rPr>
          <w:color w:val="auto"/>
          <w:highlight w:val="none"/>
        </w:rPr>
        <w:t>117</w:t>
      </w:r>
      <w:r>
        <w:rPr>
          <w:color w:val="auto"/>
          <w:highlight w:val="none"/>
        </w:rPr>
        <w:fldChar w:fldCharType="end"/>
      </w:r>
      <w:r>
        <w:rPr>
          <w:rFonts w:hint="eastAsia" w:ascii="宋体" w:hAnsi="宋体" w:cs="宋体"/>
          <w:color w:val="auto"/>
          <w:highlight w:val="none"/>
        </w:rPr>
        <w:fldChar w:fldCharType="end"/>
      </w:r>
    </w:p>
    <w:p w14:paraId="7C9F0A23">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_Toc11407 </w:instrText>
      </w:r>
      <w:r>
        <w:rPr>
          <w:rFonts w:hint="eastAsia" w:ascii="宋体" w:hAnsi="宋体" w:cs="宋体"/>
          <w:color w:val="auto"/>
          <w:highlight w:val="none"/>
        </w:rPr>
        <w:fldChar w:fldCharType="separate"/>
      </w:r>
      <w:r>
        <w:rPr>
          <w:rFonts w:hint="eastAsia" w:ascii="宋体" w:hAnsi="宋体" w:cs="宋体"/>
          <w:bCs/>
          <w:color w:val="auto"/>
          <w:highlight w:val="none"/>
        </w:rPr>
        <w:t>（三）残疾人福利性单位声明函</w:t>
      </w:r>
      <w:r>
        <w:rPr>
          <w:color w:val="auto"/>
          <w:highlight w:val="none"/>
        </w:rPr>
        <w:tab/>
      </w:r>
      <w:r>
        <w:rPr>
          <w:color w:val="auto"/>
          <w:highlight w:val="none"/>
        </w:rPr>
        <w:fldChar w:fldCharType="begin"/>
      </w:r>
      <w:r>
        <w:rPr>
          <w:color w:val="auto"/>
          <w:highlight w:val="none"/>
        </w:rPr>
        <w:instrText xml:space="preserve"> PAGEREF _Toc11407 \h </w:instrText>
      </w:r>
      <w:r>
        <w:rPr>
          <w:color w:val="auto"/>
          <w:highlight w:val="none"/>
        </w:rPr>
        <w:fldChar w:fldCharType="separate"/>
      </w:r>
      <w:r>
        <w:rPr>
          <w:color w:val="auto"/>
          <w:highlight w:val="none"/>
        </w:rPr>
        <w:t>118</w:t>
      </w:r>
      <w:r>
        <w:rPr>
          <w:color w:val="auto"/>
          <w:highlight w:val="none"/>
        </w:rPr>
        <w:fldChar w:fldCharType="end"/>
      </w:r>
      <w:r>
        <w:rPr>
          <w:rFonts w:hint="eastAsia" w:ascii="宋体" w:hAnsi="宋体" w:cs="宋体"/>
          <w:color w:val="auto"/>
          <w:highlight w:val="none"/>
        </w:rPr>
        <w:fldChar w:fldCharType="end"/>
      </w:r>
    </w:p>
    <w:p w14:paraId="7A366CC8">
      <w:pPr>
        <w:pStyle w:val="20"/>
        <w:tabs>
          <w:tab w:val="right" w:leader="dot" w:pos="9045"/>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_Toc12286 </w:instrText>
      </w:r>
      <w:r>
        <w:rPr>
          <w:rFonts w:hint="eastAsia" w:ascii="宋体" w:hAnsi="宋体" w:cs="宋体"/>
          <w:color w:val="auto"/>
          <w:highlight w:val="none"/>
        </w:rPr>
        <w:fldChar w:fldCharType="separate"/>
      </w:r>
      <w:r>
        <w:rPr>
          <w:rFonts w:hint="eastAsia" w:ascii="宋体" w:hAnsi="宋体" w:cs="宋体"/>
          <w:bCs/>
          <w:color w:val="auto"/>
          <w:highlight w:val="none"/>
        </w:rPr>
        <w:t>（四）</w:t>
      </w:r>
      <w:r>
        <w:rPr>
          <w:rFonts w:hint="eastAsia" w:ascii="宋体" w:hAnsi="宋体" w:cs="宋体"/>
          <w:bCs/>
          <w:color w:val="auto"/>
          <w:highlight w:val="none"/>
          <w:lang w:eastAsia="zh-CN"/>
        </w:rPr>
        <w:t>供应商</w:t>
      </w:r>
      <w:r>
        <w:rPr>
          <w:rFonts w:hint="eastAsia" w:ascii="宋体" w:hAnsi="宋体" w:cs="宋体"/>
          <w:bCs/>
          <w:color w:val="auto"/>
          <w:highlight w:val="none"/>
        </w:rPr>
        <w:t>认为有利于其投标的其他材料</w:t>
      </w:r>
      <w:r>
        <w:rPr>
          <w:color w:val="auto"/>
          <w:highlight w:val="none"/>
        </w:rPr>
        <w:tab/>
      </w:r>
      <w:r>
        <w:rPr>
          <w:color w:val="auto"/>
          <w:highlight w:val="none"/>
        </w:rPr>
        <w:fldChar w:fldCharType="begin"/>
      </w:r>
      <w:r>
        <w:rPr>
          <w:color w:val="auto"/>
          <w:highlight w:val="none"/>
        </w:rPr>
        <w:instrText xml:space="preserve"> PAGEREF _Toc12286 \h </w:instrText>
      </w:r>
      <w:r>
        <w:rPr>
          <w:color w:val="auto"/>
          <w:highlight w:val="none"/>
        </w:rPr>
        <w:fldChar w:fldCharType="separate"/>
      </w:r>
      <w:r>
        <w:rPr>
          <w:color w:val="auto"/>
          <w:highlight w:val="none"/>
        </w:rPr>
        <w:t>119</w:t>
      </w:r>
      <w:r>
        <w:rPr>
          <w:color w:val="auto"/>
          <w:highlight w:val="none"/>
        </w:rPr>
        <w:fldChar w:fldCharType="end"/>
      </w:r>
      <w:r>
        <w:rPr>
          <w:rFonts w:hint="eastAsia" w:ascii="宋体" w:hAnsi="宋体" w:cs="宋体"/>
          <w:color w:val="auto"/>
          <w:highlight w:val="none"/>
        </w:rPr>
        <w:fldChar w:fldCharType="end"/>
      </w:r>
    </w:p>
    <w:p w14:paraId="563A106D">
      <w:pPr>
        <w:spacing w:line="360" w:lineRule="auto"/>
        <w:rPr>
          <w:rFonts w:ascii="宋体" w:hAnsi="宋体" w:cs="宋体"/>
          <w:color w:val="auto"/>
          <w:highlight w:val="none"/>
        </w:rPr>
      </w:pPr>
      <w:r>
        <w:rPr>
          <w:rFonts w:hint="eastAsia" w:ascii="宋体" w:hAnsi="宋体" w:cs="宋体"/>
          <w:color w:val="auto"/>
          <w:highlight w:val="none"/>
        </w:rPr>
        <w:fldChar w:fldCharType="end"/>
      </w:r>
      <w:bookmarkStart w:id="3" w:name="_Toc152042287"/>
      <w:bookmarkStart w:id="4" w:name="_Toc490667779"/>
      <w:bookmarkStart w:id="5" w:name="_Toc144974479"/>
      <w:bookmarkStart w:id="6" w:name="_Toc152045511"/>
      <w:r>
        <w:rPr>
          <w:rFonts w:hint="eastAsia" w:ascii="宋体" w:hAnsi="宋体" w:cs="宋体"/>
          <w:color w:val="auto"/>
          <w:highlight w:val="none"/>
        </w:rPr>
        <w:br w:type="page"/>
      </w:r>
    </w:p>
    <w:p w14:paraId="45E105DA">
      <w:pPr>
        <w:jc w:val="left"/>
        <w:rPr>
          <w:color w:val="auto"/>
          <w:sz w:val="22"/>
          <w:szCs w:val="28"/>
          <w:highlight w:val="none"/>
        </w:rPr>
      </w:pPr>
    </w:p>
    <w:p w14:paraId="10BE4AE1">
      <w:pPr>
        <w:pStyle w:val="2"/>
        <w:numPr>
          <w:ilvl w:val="0"/>
          <w:numId w:val="0"/>
        </w:numPr>
        <w:spacing w:before="120" w:after="120" w:line="400" w:lineRule="exact"/>
        <w:jc w:val="center"/>
        <w:rPr>
          <w:rFonts w:ascii="宋体" w:hAnsi="宋体" w:cs="宋体"/>
          <w:b w:val="0"/>
          <w:bCs w:val="0"/>
          <w:color w:val="auto"/>
          <w:sz w:val="40"/>
          <w:szCs w:val="52"/>
          <w:highlight w:val="none"/>
        </w:rPr>
      </w:pPr>
      <w:bookmarkStart w:id="7" w:name="_Toc3393"/>
      <w:bookmarkStart w:id="8" w:name="_Toc11897"/>
      <w:bookmarkStart w:id="9" w:name="_Toc31103"/>
      <w:r>
        <w:rPr>
          <w:rFonts w:hint="eastAsia" w:ascii="宋体" w:hAnsi="宋体" w:cs="宋体"/>
          <w:color w:val="auto"/>
          <w:sz w:val="40"/>
          <w:szCs w:val="52"/>
          <w:highlight w:val="none"/>
        </w:rPr>
        <w:t>第一章 竞争性磋商公告</w:t>
      </w:r>
      <w:bookmarkEnd w:id="3"/>
      <w:bookmarkEnd w:id="4"/>
      <w:bookmarkEnd w:id="5"/>
      <w:bookmarkEnd w:id="6"/>
      <w:bookmarkEnd w:id="7"/>
      <w:bookmarkEnd w:id="8"/>
      <w:bookmarkEnd w:id="9"/>
    </w:p>
    <w:p w14:paraId="6645139A">
      <w:pPr>
        <w:spacing w:line="360" w:lineRule="auto"/>
        <w:ind w:left="0" w:leftChars="0" w:firstLine="0"/>
        <w:jc w:val="center"/>
        <w:rPr>
          <w:rFonts w:hint="eastAsia"/>
          <w:b/>
          <w:bCs/>
          <w:color w:val="auto"/>
          <w:sz w:val="28"/>
          <w:szCs w:val="28"/>
          <w:highlight w:val="none"/>
        </w:rPr>
      </w:pPr>
      <w:bookmarkStart w:id="10" w:name="_Toc152045527"/>
      <w:bookmarkStart w:id="11" w:name="_Toc2621"/>
      <w:bookmarkStart w:id="12" w:name="_Toc144974495"/>
      <w:bookmarkStart w:id="13" w:name="_Toc25554"/>
      <w:bookmarkStart w:id="14" w:name="_Toc152042303"/>
      <w:r>
        <w:rPr>
          <w:rFonts w:hint="eastAsia"/>
          <w:b/>
          <w:bCs/>
          <w:color w:val="auto"/>
          <w:sz w:val="28"/>
          <w:szCs w:val="28"/>
          <w:highlight w:val="none"/>
          <w:lang w:eastAsia="zh-CN"/>
        </w:rPr>
        <w:t>墨子实验室中原量子谷1号楼超净实验室工艺设备（一期）厂务二次配项目</w:t>
      </w:r>
      <w:r>
        <w:rPr>
          <w:rFonts w:hint="eastAsia"/>
          <w:b/>
          <w:bCs/>
          <w:color w:val="auto"/>
          <w:sz w:val="28"/>
          <w:szCs w:val="28"/>
          <w:highlight w:val="none"/>
        </w:rPr>
        <w:t>竞争性磋商公告</w:t>
      </w:r>
    </w:p>
    <w:p w14:paraId="743777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highlight w:val="none"/>
          <w:lang w:eastAsia="zh-CN"/>
        </w:rPr>
      </w:pPr>
      <w:r>
        <w:rPr>
          <w:rFonts w:hint="eastAsia" w:eastAsia="宋体"/>
          <w:b/>
          <w:bCs/>
          <w:color w:val="auto"/>
          <w:highlight w:val="none"/>
          <w:lang w:eastAsia="zh-CN"/>
        </w:rPr>
        <w:t>项目概况</w:t>
      </w:r>
    </w:p>
    <w:p w14:paraId="7E7866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lang w:eastAsia="zh-CN"/>
        </w:rPr>
      </w:pPr>
      <w:r>
        <w:rPr>
          <w:rFonts w:hint="eastAsia"/>
          <w:color w:val="auto"/>
          <w:highlight w:val="none"/>
          <w:lang w:eastAsia="zh-CN"/>
        </w:rPr>
        <w:t>墨子实验室中原量子谷1号楼超净实验室工艺设备（一期）厂务二次配项目</w:t>
      </w:r>
      <w:r>
        <w:rPr>
          <w:rFonts w:hint="eastAsia" w:eastAsia="宋体"/>
          <w:color w:val="auto"/>
          <w:highlight w:val="none"/>
          <w:lang w:eastAsia="zh-CN"/>
        </w:rPr>
        <w:t>的潜在</w:t>
      </w:r>
      <w:r>
        <w:rPr>
          <w:rFonts w:hint="eastAsia"/>
          <w:color w:val="auto"/>
          <w:highlight w:val="none"/>
          <w:lang w:eastAsia="zh-CN"/>
        </w:rPr>
        <w:t>供应商</w:t>
      </w:r>
      <w:r>
        <w:rPr>
          <w:rFonts w:hint="eastAsia" w:eastAsia="宋体"/>
          <w:color w:val="auto"/>
          <w:highlight w:val="none"/>
          <w:lang w:eastAsia="zh-CN"/>
        </w:rPr>
        <w:t>应在河南省公共资源交易中心（</w:t>
      </w:r>
      <w:r>
        <w:rPr>
          <w:rFonts w:hint="eastAsia" w:eastAsia="宋体"/>
          <w:color w:val="auto"/>
          <w:highlight w:val="none"/>
          <w:lang w:eastAsia="zh-CN"/>
        </w:rPr>
        <w:fldChar w:fldCharType="begin"/>
      </w:r>
      <w:r>
        <w:rPr>
          <w:rFonts w:hint="eastAsia" w:eastAsia="宋体"/>
          <w:color w:val="auto"/>
          <w:highlight w:val="none"/>
          <w:lang w:eastAsia="zh-CN"/>
        </w:rPr>
        <w:instrText xml:space="preserve"> HYPERLINK "http://hnsggzyjy.henan.gov.cn" </w:instrText>
      </w:r>
      <w:r>
        <w:rPr>
          <w:rFonts w:hint="eastAsia" w:eastAsia="宋体"/>
          <w:color w:val="auto"/>
          <w:highlight w:val="none"/>
          <w:lang w:eastAsia="zh-CN"/>
        </w:rPr>
        <w:fldChar w:fldCharType="separate"/>
      </w:r>
      <w:r>
        <w:rPr>
          <w:rFonts w:hint="eastAsia" w:eastAsia="宋体"/>
          <w:color w:val="auto"/>
          <w:highlight w:val="none"/>
          <w:lang w:eastAsia="zh-CN"/>
        </w:rPr>
        <w:t>http://hnsggzyjy.henan.gov.cn</w:t>
      </w:r>
      <w:r>
        <w:rPr>
          <w:rFonts w:hint="eastAsia" w:eastAsia="宋体"/>
          <w:color w:val="auto"/>
          <w:highlight w:val="none"/>
          <w:lang w:eastAsia="zh-CN"/>
        </w:rPr>
        <w:fldChar w:fldCharType="end"/>
      </w:r>
      <w:r>
        <w:rPr>
          <w:rFonts w:hint="eastAsia" w:eastAsia="宋体"/>
          <w:color w:val="auto"/>
          <w:highlight w:val="none"/>
          <w:lang w:eastAsia="zh-CN"/>
        </w:rPr>
        <w:t>）获取</w:t>
      </w:r>
      <w:r>
        <w:rPr>
          <w:rFonts w:hint="eastAsia"/>
          <w:color w:val="auto"/>
          <w:highlight w:val="none"/>
          <w:lang w:eastAsia="zh-CN"/>
        </w:rPr>
        <w:t>招标文件</w:t>
      </w:r>
      <w:r>
        <w:rPr>
          <w:rFonts w:hint="eastAsia" w:eastAsia="宋体"/>
          <w:color w:val="auto"/>
          <w:highlight w:val="none"/>
          <w:lang w:eastAsia="zh-CN"/>
        </w:rPr>
        <w:t>，并于202</w:t>
      </w:r>
      <w:r>
        <w:rPr>
          <w:rFonts w:hint="eastAsia"/>
          <w:color w:val="auto"/>
          <w:highlight w:val="none"/>
          <w:lang w:eastAsia="zh"/>
          <w:woUserID w:val="3"/>
        </w:rPr>
        <w:t>6</w:t>
      </w:r>
      <w:r>
        <w:rPr>
          <w:rFonts w:hint="eastAsia" w:eastAsia="宋体"/>
          <w:color w:val="auto"/>
          <w:highlight w:val="none"/>
          <w:lang w:eastAsia="zh-CN"/>
        </w:rPr>
        <w:t>年</w:t>
      </w:r>
      <w:r>
        <w:rPr>
          <w:rFonts w:hint="eastAsia"/>
          <w:color w:val="auto"/>
          <w:highlight w:val="none"/>
          <w:lang w:val="en-US" w:eastAsia="zh-CN"/>
        </w:rPr>
        <w:t>3</w:t>
      </w:r>
      <w:r>
        <w:rPr>
          <w:rFonts w:hint="eastAsia" w:eastAsia="宋体"/>
          <w:color w:val="auto"/>
          <w:highlight w:val="none"/>
          <w:lang w:eastAsia="zh-CN"/>
        </w:rPr>
        <w:t>月</w:t>
      </w:r>
      <w:r>
        <w:rPr>
          <w:rFonts w:hint="eastAsia"/>
          <w:color w:val="auto"/>
          <w:highlight w:val="none"/>
          <w:lang w:val="en-US" w:eastAsia="zh-CN"/>
        </w:rPr>
        <w:t>5</w:t>
      </w:r>
      <w:r>
        <w:rPr>
          <w:rFonts w:hint="eastAsia" w:eastAsia="宋体"/>
          <w:color w:val="auto"/>
          <w:highlight w:val="none"/>
          <w:lang w:eastAsia="zh-CN"/>
        </w:rPr>
        <w:t>日</w:t>
      </w:r>
      <w:r>
        <w:rPr>
          <w:rFonts w:hint="eastAsia"/>
          <w:color w:val="auto"/>
          <w:highlight w:val="none"/>
          <w:lang w:val="en-US" w:eastAsia="zh-CN"/>
        </w:rPr>
        <w:t>9</w:t>
      </w:r>
      <w:r>
        <w:rPr>
          <w:rFonts w:hint="eastAsia" w:eastAsia="宋体"/>
          <w:color w:val="auto"/>
          <w:highlight w:val="none"/>
          <w:lang w:eastAsia="zh-CN"/>
        </w:rPr>
        <w:t>时00分（北京时间）前递交响应文件。</w:t>
      </w:r>
    </w:p>
    <w:p w14:paraId="25F7400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highlight w:val="none"/>
          <w:lang w:eastAsia="zh-CN"/>
        </w:rPr>
      </w:pPr>
      <w:bookmarkStart w:id="15" w:name="_Toc213079451"/>
      <w:bookmarkStart w:id="16" w:name="_Toc15292"/>
      <w:bookmarkStart w:id="17" w:name="_Toc8082"/>
      <w:r>
        <w:rPr>
          <w:rFonts w:hint="eastAsia" w:eastAsia="宋体"/>
          <w:b/>
          <w:bCs/>
          <w:color w:val="auto"/>
          <w:highlight w:val="none"/>
          <w:lang w:eastAsia="zh-CN"/>
        </w:rPr>
        <w:t>一、项目基本情况</w:t>
      </w:r>
      <w:bookmarkEnd w:id="15"/>
      <w:bookmarkEnd w:id="16"/>
      <w:bookmarkEnd w:id="17"/>
    </w:p>
    <w:p w14:paraId="08B385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1.项目编号：</w:t>
      </w:r>
      <w:r>
        <w:rPr>
          <w:rFonts w:hint="eastAsia" w:eastAsia="宋体"/>
          <w:color w:val="auto"/>
          <w:highlight w:val="none"/>
          <w:lang w:val="en-US" w:eastAsia="zh-CN"/>
        </w:rPr>
        <w:t>豫财磋商采购-2026-34</w:t>
      </w:r>
    </w:p>
    <w:p w14:paraId="5BF01A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2.项目名称：墨子实验室中原量子谷1号楼超净实验室工艺设备（一期）厂务二次配项目</w:t>
      </w:r>
    </w:p>
    <w:p w14:paraId="742AFFC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3.采购方式：竞争性磋商</w:t>
      </w:r>
    </w:p>
    <w:p w14:paraId="56848C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4.预算金额：</w:t>
      </w:r>
      <w:r>
        <w:rPr>
          <w:rFonts w:hint="eastAsia" w:eastAsia="宋体"/>
          <w:color w:val="auto"/>
          <w:highlight w:val="none"/>
          <w:lang w:val="en-US" w:eastAsia="zh-CN"/>
        </w:rPr>
        <w:t>6200000</w:t>
      </w:r>
      <w:r>
        <w:rPr>
          <w:rFonts w:hint="eastAsia" w:eastAsia="宋体"/>
          <w:color w:val="auto"/>
          <w:highlight w:val="none"/>
          <w:lang w:eastAsia="zh-CN"/>
        </w:rPr>
        <w:t>元；</w:t>
      </w:r>
    </w:p>
    <w:p w14:paraId="4EDC60E1">
      <w:pPr>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eastAsia="宋体"/>
          <w:color w:val="auto"/>
          <w:highlight w:val="none"/>
          <w:lang w:eastAsia="zh-CN"/>
        </w:rPr>
      </w:pPr>
      <w:r>
        <w:rPr>
          <w:rFonts w:hint="eastAsia" w:eastAsia="宋体"/>
          <w:color w:val="auto"/>
          <w:highlight w:val="none"/>
          <w:lang w:eastAsia="zh-CN"/>
        </w:rPr>
        <w:t>最高限价：</w:t>
      </w:r>
      <w:r>
        <w:rPr>
          <w:rFonts w:hint="eastAsia" w:eastAsia="宋体"/>
          <w:color w:val="auto"/>
          <w:highlight w:val="none"/>
          <w:lang w:val="en-US" w:eastAsia="zh-CN"/>
        </w:rPr>
        <w:t>620000</w:t>
      </w:r>
      <w:r>
        <w:rPr>
          <w:rFonts w:hint="eastAsia"/>
          <w:color w:val="auto"/>
          <w:highlight w:val="none"/>
          <w:lang w:val="en-US" w:eastAsia="zh-CN"/>
        </w:rPr>
        <w:t>0</w:t>
      </w:r>
      <w:r>
        <w:rPr>
          <w:rFonts w:hint="eastAsia" w:eastAsia="宋体"/>
          <w:color w:val="auto"/>
          <w:highlight w:val="none"/>
          <w:lang w:eastAsia="zh-CN"/>
        </w:rPr>
        <w:t>元。</w:t>
      </w:r>
    </w:p>
    <w:tbl>
      <w:tblPr>
        <w:tblStyle w:val="77"/>
        <w:tblW w:w="88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1933"/>
        <w:gridCol w:w="3146"/>
        <w:gridCol w:w="1372"/>
        <w:gridCol w:w="1561"/>
      </w:tblGrid>
      <w:tr w14:paraId="552F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845" w:type="dxa"/>
            <w:vAlign w:val="center"/>
          </w:tcPr>
          <w:p w14:paraId="7E39DA8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t>序号</w:t>
            </w:r>
          </w:p>
        </w:tc>
        <w:tc>
          <w:tcPr>
            <w:tcW w:w="1933" w:type="dxa"/>
            <w:vAlign w:val="center"/>
          </w:tcPr>
          <w:p w14:paraId="0381909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t>包号</w:t>
            </w:r>
          </w:p>
        </w:tc>
        <w:tc>
          <w:tcPr>
            <w:tcW w:w="3146" w:type="dxa"/>
            <w:vAlign w:val="center"/>
          </w:tcPr>
          <w:p w14:paraId="3A35C5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t>包名称</w:t>
            </w:r>
          </w:p>
        </w:tc>
        <w:tc>
          <w:tcPr>
            <w:tcW w:w="1372" w:type="dxa"/>
            <w:vAlign w:val="center"/>
          </w:tcPr>
          <w:p w14:paraId="110694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t>包预算（元）</w:t>
            </w:r>
          </w:p>
        </w:tc>
        <w:tc>
          <w:tcPr>
            <w:tcW w:w="1561" w:type="dxa"/>
            <w:vAlign w:val="center"/>
          </w:tcPr>
          <w:p w14:paraId="36386E4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t>包最高限价（元）</w:t>
            </w:r>
          </w:p>
        </w:tc>
      </w:tr>
      <w:tr w14:paraId="4DC75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jc w:val="center"/>
        </w:trPr>
        <w:tc>
          <w:tcPr>
            <w:tcW w:w="845" w:type="dxa"/>
            <w:vAlign w:val="center"/>
          </w:tcPr>
          <w:p w14:paraId="6188894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t>1</w:t>
            </w:r>
          </w:p>
        </w:tc>
        <w:tc>
          <w:tcPr>
            <w:tcW w:w="1933" w:type="dxa"/>
            <w:vAlign w:val="center"/>
          </w:tcPr>
          <w:p w14:paraId="2755B65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t>豫政采(2)20260115-1</w:t>
            </w:r>
          </w:p>
        </w:tc>
        <w:tc>
          <w:tcPr>
            <w:tcW w:w="3146" w:type="dxa"/>
            <w:vAlign w:val="center"/>
          </w:tcPr>
          <w:p w14:paraId="2B890E2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t>墨子实验室中原量子谷1号楼超净实验室工艺设备（一期）厂务二次配项目</w:t>
            </w:r>
          </w:p>
        </w:tc>
        <w:tc>
          <w:tcPr>
            <w:tcW w:w="1372" w:type="dxa"/>
            <w:vAlign w:val="center"/>
          </w:tcPr>
          <w:p w14:paraId="57C1291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eastAsia="宋体"/>
                <w:color w:val="auto"/>
                <w:highlight w:val="none"/>
                <w:lang w:val="en-US" w:eastAsia="zh-CN"/>
              </w:rPr>
            </w:pPr>
            <w:r>
              <w:rPr>
                <w:rFonts w:hint="eastAsia" w:eastAsia="宋体"/>
                <w:color w:val="auto"/>
                <w:highlight w:val="none"/>
                <w:lang w:val="en-US" w:eastAsia="zh-CN"/>
              </w:rPr>
              <w:t>620000</w:t>
            </w:r>
            <w:r>
              <w:rPr>
                <w:rFonts w:hint="eastAsia"/>
                <w:color w:val="auto"/>
                <w:highlight w:val="none"/>
                <w:lang w:val="en-US" w:eastAsia="zh-CN"/>
              </w:rPr>
              <w:t>0</w:t>
            </w:r>
          </w:p>
        </w:tc>
        <w:tc>
          <w:tcPr>
            <w:tcW w:w="1561" w:type="dxa"/>
            <w:vAlign w:val="center"/>
          </w:tcPr>
          <w:p w14:paraId="7E61EB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eastAsia="宋体"/>
                <w:color w:val="auto"/>
                <w:highlight w:val="none"/>
                <w:lang w:val="en-US" w:eastAsia="zh-CN"/>
              </w:rPr>
            </w:pPr>
            <w:r>
              <w:rPr>
                <w:rFonts w:hint="eastAsia" w:eastAsia="宋体"/>
                <w:color w:val="auto"/>
                <w:highlight w:val="none"/>
                <w:lang w:val="en-US" w:eastAsia="zh-CN"/>
              </w:rPr>
              <w:t>6200000</w:t>
            </w:r>
          </w:p>
        </w:tc>
      </w:tr>
    </w:tbl>
    <w:p w14:paraId="56583F9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5、采购需求（包括但不限于标的的名称、数量、简要技术需求或服务要求等）</w:t>
      </w:r>
    </w:p>
    <w:p w14:paraId="272741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5.1 项目地点：中原量子谷。</w:t>
      </w:r>
    </w:p>
    <w:p w14:paraId="0094F8E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5.2 项目概况：中原量子谷1</w:t>
      </w:r>
      <w:r>
        <w:rPr>
          <w:rFonts w:hint="eastAsia"/>
          <w:color w:val="auto"/>
          <w:highlight w:val="none"/>
          <w:lang w:eastAsia="zh"/>
          <w:woUserID w:val="1"/>
        </w:rPr>
        <w:t>号</w:t>
      </w:r>
      <w:r>
        <w:rPr>
          <w:rFonts w:hint="eastAsia" w:eastAsia="宋体"/>
          <w:color w:val="auto"/>
          <w:highlight w:val="none"/>
          <w:lang w:eastAsia="zh-CN"/>
        </w:rPr>
        <w:t>楼超净实验室位于郑州日产汽车有限公司研发中心建设项目B地块(二期）中原量子谷创新基地内，建筑面积约6124.30㎡，其中地下一层建筑面积约1429.33㎡，一层建筑面积约4694.97㎡，层高10米，一层洁净室面积约3000㎡</w:t>
      </w:r>
      <w:r>
        <w:rPr>
          <w:rFonts w:hint="eastAsia" w:eastAsia="宋体"/>
          <w:color w:val="auto"/>
          <w:highlight w:val="none"/>
          <w:lang w:eastAsia="zh"/>
        </w:rPr>
        <w:t>（含百级洁净室）</w:t>
      </w:r>
      <w:r>
        <w:rPr>
          <w:rFonts w:hint="eastAsia" w:eastAsia="宋体"/>
          <w:color w:val="auto"/>
          <w:highlight w:val="none"/>
          <w:lang w:eastAsia="zh-CN"/>
        </w:rPr>
        <w:t>，非洁净室面积约1694.97㎡</w:t>
      </w:r>
      <w:r>
        <w:rPr>
          <w:rFonts w:hint="eastAsia"/>
          <w:color w:val="auto"/>
          <w:highlight w:val="none"/>
          <w:lang w:eastAsia="zh"/>
          <w:woUserID w:val="1"/>
        </w:rPr>
        <w:t>。</w:t>
      </w:r>
    </w:p>
    <w:p w14:paraId="1EA02B4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5.3</w:t>
      </w:r>
      <w:bookmarkStart w:id="18" w:name="OLE_LINK10"/>
      <w:bookmarkStart w:id="19" w:name="OLE_LINK9"/>
      <w:r>
        <w:rPr>
          <w:rFonts w:hint="eastAsia" w:eastAsia="宋体"/>
          <w:color w:val="auto"/>
          <w:highlight w:val="none"/>
          <w:lang w:eastAsia="zh-CN"/>
        </w:rPr>
        <w:t>标包划分</w:t>
      </w:r>
      <w:bookmarkEnd w:id="18"/>
      <w:bookmarkEnd w:id="19"/>
      <w:r>
        <w:rPr>
          <w:rFonts w:hint="eastAsia" w:eastAsia="宋体"/>
          <w:color w:val="auto"/>
          <w:highlight w:val="none"/>
          <w:lang w:eastAsia="zh-CN"/>
        </w:rPr>
        <w:t>：本项目划分为一个标包。</w:t>
      </w:r>
    </w:p>
    <w:p w14:paraId="2B277700">
      <w:pPr>
        <w:jc w:val="left"/>
        <w:rPr>
          <w:rFonts w:hint="eastAsia" w:eastAsia="宋体"/>
          <w:color w:val="auto"/>
          <w:highlight w:val="none"/>
          <w:lang w:eastAsia="zh-CN"/>
        </w:rPr>
      </w:pPr>
      <w:r>
        <w:rPr>
          <w:rFonts w:hint="eastAsia" w:eastAsia="宋体"/>
          <w:color w:val="auto"/>
          <w:highlight w:val="none"/>
          <w:lang w:eastAsia="zh-CN"/>
        </w:rPr>
        <w:t>5.4采购范围：墨子实验室中原量子谷1号楼超净实验室工艺设备（一期）厂务二次配项目</w:t>
      </w:r>
      <w:r>
        <w:rPr>
          <w:rFonts w:hint="eastAsia" w:eastAsia="宋体"/>
          <w:b/>
          <w:bCs/>
          <w:color w:val="auto"/>
          <w:highlight w:val="none"/>
          <w:lang w:eastAsia="zh-CN"/>
        </w:rPr>
        <w:t>设计及施工</w:t>
      </w:r>
      <w:r>
        <w:rPr>
          <w:rFonts w:hint="eastAsia" w:eastAsia="宋体"/>
          <w:color w:val="auto"/>
          <w:highlight w:val="none"/>
          <w:lang w:eastAsia="zh-CN"/>
        </w:rPr>
        <w:t>，包含但不限于施工图设计、施工指导及现场服务、工程验收及竣工图</w:t>
      </w:r>
      <w:r>
        <w:rPr>
          <w:rFonts w:hint="eastAsia"/>
          <w:color w:val="auto"/>
          <w:highlight w:val="none"/>
          <w:lang w:eastAsia="zh"/>
          <w:woUserID w:val="5"/>
        </w:rPr>
        <w:t>绘制</w:t>
      </w:r>
      <w:r>
        <w:rPr>
          <w:rFonts w:hint="eastAsia" w:eastAsia="宋体"/>
          <w:color w:val="auto"/>
          <w:highlight w:val="none"/>
          <w:lang w:eastAsia="zh-CN"/>
        </w:rPr>
        <w:t>、施工图范围内的所有施工(包含但不限于工艺电力系统二次配；工艺排气系统二次配；工艺冷却水系统二次配；工艺超纯水二次配；工艺排水排液二次配；工艺气体二次配；</w:t>
      </w:r>
      <w:r>
        <w:rPr>
          <w:rFonts w:hint="eastAsia" w:eastAsia="宋体"/>
          <w:color w:val="auto"/>
          <w:highlight w:val="none"/>
          <w:lang w:eastAsia="zh"/>
        </w:rPr>
        <w:t>安全</w:t>
      </w:r>
      <w:r>
        <w:rPr>
          <w:rFonts w:hint="eastAsia" w:eastAsia="宋体"/>
          <w:color w:val="auto"/>
          <w:highlight w:val="none"/>
          <w:lang w:eastAsia="zh-CN"/>
        </w:rPr>
        <w:t>侦测与报警系统</w:t>
      </w:r>
      <w:r>
        <w:rPr>
          <w:rFonts w:hint="eastAsia" w:eastAsia="宋体"/>
          <w:color w:val="auto"/>
          <w:highlight w:val="none"/>
          <w:lang w:eastAsia="zh"/>
        </w:rPr>
        <w:t>；尾气处理与真空管路、石墨盘</w:t>
      </w:r>
      <w:r>
        <w:rPr>
          <w:rFonts w:hint="eastAsia" w:eastAsia="宋体"/>
          <w:color w:val="auto"/>
          <w:highlight w:val="none"/>
          <w:lang w:eastAsia="zh-CN"/>
        </w:rPr>
        <w:t>清洗装置</w:t>
      </w:r>
      <w:r>
        <w:rPr>
          <w:rFonts w:hint="eastAsia" w:eastAsia="宋体"/>
          <w:color w:val="auto"/>
          <w:highlight w:val="none"/>
          <w:lang w:eastAsia="zh"/>
          <w:woUserID w:val="1"/>
        </w:rPr>
        <w:t>；</w:t>
      </w:r>
      <w:r>
        <w:rPr>
          <w:rFonts w:hint="eastAsia" w:eastAsia="宋体"/>
          <w:color w:val="auto"/>
          <w:highlight w:val="none"/>
          <w:lang w:eastAsia="zh"/>
        </w:rPr>
        <w:t>智能化与展示；办公设施连接、零星改造等工作</w:t>
      </w:r>
      <w:r>
        <w:rPr>
          <w:rFonts w:hint="eastAsia"/>
          <w:color w:val="auto"/>
          <w:highlight w:val="none"/>
          <w:lang w:eastAsia="zh"/>
          <w:woUserID w:val="1"/>
        </w:rPr>
        <w:t>）</w:t>
      </w:r>
      <w:r>
        <w:rPr>
          <w:rFonts w:hint="eastAsia" w:eastAsia="宋体"/>
          <w:color w:val="auto"/>
          <w:highlight w:val="none"/>
          <w:lang w:eastAsia="zh-CN"/>
        </w:rPr>
        <w:t>，物资采购供应及设备安装调试、试运、技术服务直至验收交付使用，以及</w:t>
      </w:r>
      <w:r>
        <w:rPr>
          <w:rFonts w:hint="eastAsia"/>
          <w:color w:val="auto"/>
          <w:highlight w:val="none"/>
          <w:lang w:eastAsia="zh"/>
          <w:woUserID w:val="3"/>
        </w:rPr>
        <w:t>保修期</w:t>
      </w:r>
      <w:r>
        <w:rPr>
          <w:rFonts w:hint="eastAsia" w:eastAsia="宋体"/>
          <w:color w:val="auto"/>
          <w:highlight w:val="none"/>
          <w:lang w:eastAsia="zh-CN"/>
        </w:rPr>
        <w:t>内的维修服务</w:t>
      </w:r>
      <w:r>
        <w:rPr>
          <w:rFonts w:hint="eastAsia" w:eastAsia="宋体"/>
          <w:color w:val="auto"/>
          <w:highlight w:val="none"/>
          <w:lang w:eastAsia="zh"/>
        </w:rPr>
        <w:t>等</w:t>
      </w:r>
      <w:r>
        <w:rPr>
          <w:rFonts w:hint="eastAsia" w:eastAsia="宋体"/>
          <w:color w:val="auto"/>
          <w:highlight w:val="none"/>
          <w:lang w:eastAsia="zh-CN"/>
        </w:rPr>
        <w:t>。</w:t>
      </w:r>
    </w:p>
    <w:p w14:paraId="718922F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5.5 工期：</w:t>
      </w:r>
      <w:r>
        <w:rPr>
          <w:rFonts w:hint="eastAsia" w:eastAsia="宋体"/>
          <w:color w:val="auto"/>
          <w:highlight w:val="none"/>
          <w:lang w:eastAsia="zh"/>
        </w:rPr>
        <w:t>45</w:t>
      </w:r>
      <w:r>
        <w:rPr>
          <w:rFonts w:hint="eastAsia" w:eastAsia="宋体"/>
          <w:color w:val="auto"/>
          <w:highlight w:val="none"/>
          <w:lang w:eastAsia="zh-CN"/>
        </w:rPr>
        <w:t>日历天</w:t>
      </w:r>
      <w:r>
        <w:rPr>
          <w:rFonts w:hint="eastAsia" w:eastAsia="宋体"/>
          <w:color w:val="auto"/>
          <w:highlight w:val="none"/>
          <w:lang w:eastAsia="zh"/>
        </w:rPr>
        <w:t>（含设计周期）</w:t>
      </w:r>
      <w:r>
        <w:rPr>
          <w:rFonts w:hint="eastAsia" w:eastAsia="宋体"/>
          <w:color w:val="auto"/>
          <w:highlight w:val="none"/>
          <w:lang w:eastAsia="zh-CN"/>
        </w:rPr>
        <w:t>。</w:t>
      </w:r>
    </w:p>
    <w:p w14:paraId="4AF0BDA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5.6 质量要求：</w:t>
      </w:r>
    </w:p>
    <w:p w14:paraId="7F5DA0E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woUserID w:val="1"/>
        </w:rPr>
      </w:pPr>
      <w:r>
        <w:rPr>
          <w:rFonts w:hint="eastAsia" w:eastAsia="宋体"/>
          <w:color w:val="auto"/>
          <w:highlight w:val="none"/>
          <w:lang w:val="en-US" w:eastAsia="zh-CN"/>
        </w:rPr>
        <w:t>5.6</w:t>
      </w:r>
      <w:r>
        <w:rPr>
          <w:rFonts w:hint="eastAsia" w:eastAsia="宋体"/>
          <w:color w:val="auto"/>
          <w:highlight w:val="none"/>
          <w:lang w:eastAsia="zh-CN"/>
        </w:rPr>
        <w:t>.1设计质量要求：各阶段设计成果文件均符合国家、省、市有关工程设计方面的规范、文件规定的内容及深度和</w:t>
      </w:r>
      <w:r>
        <w:rPr>
          <w:rFonts w:hint="eastAsia"/>
          <w:color w:val="auto"/>
          <w:highlight w:val="none"/>
          <w:lang w:eastAsia="zh-CN"/>
        </w:rPr>
        <w:t>采购人</w:t>
      </w:r>
      <w:r>
        <w:rPr>
          <w:rFonts w:hint="eastAsia" w:eastAsia="宋体"/>
          <w:color w:val="auto"/>
          <w:highlight w:val="none"/>
          <w:lang w:eastAsia="zh-CN"/>
        </w:rPr>
        <w:t>的具体要求</w:t>
      </w:r>
      <w:r>
        <w:rPr>
          <w:rFonts w:hint="eastAsia"/>
          <w:color w:val="auto"/>
          <w:highlight w:val="none"/>
          <w:lang w:eastAsia="zh"/>
          <w:woUserID w:val="1"/>
        </w:rPr>
        <w:t>；</w:t>
      </w:r>
    </w:p>
    <w:p w14:paraId="6C64C3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val="en-US" w:eastAsia="zh-CN"/>
        </w:rPr>
        <w:t>5.6</w:t>
      </w:r>
      <w:r>
        <w:rPr>
          <w:rFonts w:hint="eastAsia" w:eastAsia="宋体"/>
          <w:color w:val="auto"/>
          <w:highlight w:val="none"/>
          <w:lang w:eastAsia="zh-CN"/>
        </w:rPr>
        <w:t>.2施工质量要求：</w:t>
      </w:r>
      <w:r>
        <w:rPr>
          <w:rFonts w:hint="eastAsia"/>
          <w:color w:val="auto"/>
          <w:highlight w:val="none"/>
          <w:lang w:eastAsia="zh"/>
          <w:woUserID w:val="1"/>
        </w:rPr>
        <w:t>工程质量</w:t>
      </w:r>
      <w:r>
        <w:rPr>
          <w:rFonts w:hint="eastAsia" w:eastAsia="宋体"/>
          <w:color w:val="auto"/>
          <w:highlight w:val="none"/>
          <w:lang w:eastAsia="zh-CN"/>
          <w:woUserID w:val="1"/>
        </w:rPr>
        <w:t>均符合国家、省、市有关工程</w:t>
      </w:r>
      <w:r>
        <w:rPr>
          <w:rFonts w:hint="eastAsia" w:eastAsia="宋体"/>
          <w:color w:val="auto"/>
          <w:highlight w:val="none"/>
          <w:lang w:eastAsia="zh"/>
          <w:woUserID w:val="1"/>
        </w:rPr>
        <w:t>验收</w:t>
      </w:r>
      <w:r>
        <w:rPr>
          <w:rFonts w:hint="eastAsia" w:eastAsia="宋体"/>
          <w:color w:val="auto"/>
          <w:highlight w:val="none"/>
          <w:lang w:eastAsia="zh-CN"/>
          <w:woUserID w:val="1"/>
        </w:rPr>
        <w:t>方面的规范</w:t>
      </w:r>
      <w:r>
        <w:rPr>
          <w:rFonts w:hint="eastAsia" w:eastAsia="宋体"/>
          <w:color w:val="auto"/>
          <w:highlight w:val="none"/>
          <w:lang w:eastAsia="zh"/>
          <w:woUserID w:val="1"/>
        </w:rPr>
        <w:t>及</w:t>
      </w:r>
      <w:r>
        <w:rPr>
          <w:rFonts w:hint="eastAsia"/>
          <w:color w:val="auto"/>
          <w:highlight w:val="none"/>
          <w:lang w:eastAsia="zh-CN"/>
          <w:woUserID w:val="1"/>
        </w:rPr>
        <w:t>采购人</w:t>
      </w:r>
      <w:r>
        <w:rPr>
          <w:rFonts w:hint="eastAsia" w:eastAsia="宋体"/>
          <w:color w:val="auto"/>
          <w:highlight w:val="none"/>
          <w:lang w:eastAsia="zh-CN"/>
          <w:woUserID w:val="1"/>
        </w:rPr>
        <w:t>的具体要求</w:t>
      </w:r>
      <w:r>
        <w:rPr>
          <w:rFonts w:hint="eastAsia" w:eastAsia="宋体"/>
          <w:color w:val="auto"/>
          <w:highlight w:val="none"/>
          <w:lang w:eastAsia="zh"/>
          <w:woUserID w:val="1"/>
        </w:rPr>
        <w:t>。</w:t>
      </w:r>
    </w:p>
    <w:p w14:paraId="1C3D1CC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 xml:space="preserve">5.7 </w:t>
      </w:r>
      <w:r>
        <w:rPr>
          <w:rFonts w:hint="eastAsia"/>
          <w:color w:val="auto"/>
          <w:highlight w:val="none"/>
          <w:lang w:eastAsia="zh"/>
          <w:woUserID w:val="3"/>
        </w:rPr>
        <w:t>保修期</w:t>
      </w:r>
      <w:r>
        <w:rPr>
          <w:rFonts w:hint="eastAsia" w:eastAsia="宋体"/>
          <w:color w:val="auto"/>
          <w:highlight w:val="none"/>
          <w:lang w:eastAsia="zh-CN"/>
        </w:rPr>
        <w:t>：自验收合格之日起2年。</w:t>
      </w:r>
    </w:p>
    <w:p w14:paraId="047040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宋体"/>
          <w:color w:val="auto"/>
          <w:highlight w:val="none"/>
          <w:lang w:val="en-US" w:eastAsia="zh-CN"/>
        </w:rPr>
      </w:pPr>
      <w:r>
        <w:rPr>
          <w:rFonts w:hint="eastAsia" w:eastAsia="宋体"/>
          <w:color w:val="auto"/>
          <w:highlight w:val="none"/>
          <w:lang w:val="en-US" w:eastAsia="zh-CN"/>
        </w:rPr>
        <w:t>5.8</w:t>
      </w:r>
      <w:r>
        <w:rPr>
          <w:rFonts w:hint="eastAsia" w:eastAsia="宋体"/>
          <w:color w:val="auto"/>
          <w:highlight w:val="none"/>
          <w:lang w:eastAsia="zh-CN"/>
        </w:rPr>
        <w:t>缺陷责任期：</w:t>
      </w:r>
      <w:r>
        <w:rPr>
          <w:rFonts w:hint="eastAsia" w:eastAsia="宋体"/>
          <w:color w:val="auto"/>
          <w:highlight w:val="none"/>
          <w:lang w:eastAsia="zh"/>
        </w:rPr>
        <w:t>2</w:t>
      </w:r>
      <w:r>
        <w:rPr>
          <w:rFonts w:hint="eastAsia" w:eastAsia="宋体"/>
          <w:color w:val="auto"/>
          <w:highlight w:val="none"/>
          <w:lang w:eastAsia="zh-CN"/>
        </w:rPr>
        <w:t>年。</w:t>
      </w:r>
    </w:p>
    <w:p w14:paraId="2F59390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6、合同履行期限：按合同约定执行。</w:t>
      </w:r>
    </w:p>
    <w:p w14:paraId="3F41782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7、本项目是否接受联合体</w:t>
      </w:r>
      <w:r>
        <w:rPr>
          <w:rFonts w:hint="eastAsia"/>
          <w:color w:val="auto"/>
          <w:highlight w:val="none"/>
          <w:lang w:eastAsia="zh-CN"/>
        </w:rPr>
        <w:t>投标</w:t>
      </w:r>
      <w:r>
        <w:rPr>
          <w:rFonts w:hint="eastAsia" w:eastAsia="宋体"/>
          <w:color w:val="auto"/>
          <w:highlight w:val="none"/>
          <w:lang w:eastAsia="zh-CN"/>
        </w:rPr>
        <w:t>：否</w:t>
      </w:r>
    </w:p>
    <w:p w14:paraId="4E1E26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woUserID w:val="1"/>
        </w:rPr>
      </w:pPr>
      <w:r>
        <w:rPr>
          <w:rFonts w:hint="eastAsia" w:eastAsia="宋体"/>
          <w:color w:val="auto"/>
          <w:highlight w:val="none"/>
          <w:lang w:eastAsia="zh-CN"/>
        </w:rPr>
        <w:t>8、是否接受进口产品：</w:t>
      </w:r>
      <w:r>
        <w:rPr>
          <w:rFonts w:hint="eastAsia"/>
          <w:color w:val="auto"/>
          <w:highlight w:val="none"/>
          <w:lang w:eastAsia="zh"/>
          <w:woUserID w:val="1"/>
        </w:rPr>
        <w:t>否</w:t>
      </w:r>
    </w:p>
    <w:p w14:paraId="21172C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9、是否专门面向中小企业：否</w:t>
      </w:r>
    </w:p>
    <w:p w14:paraId="3BD6743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highlight w:val="none"/>
          <w:lang w:eastAsia="zh-CN"/>
        </w:rPr>
      </w:pPr>
      <w:bookmarkStart w:id="20" w:name="_Toc6288"/>
      <w:r>
        <w:rPr>
          <w:rFonts w:hint="eastAsia" w:eastAsia="宋体"/>
          <w:b/>
          <w:bCs/>
          <w:color w:val="auto"/>
          <w:highlight w:val="none"/>
          <w:lang w:eastAsia="zh-CN"/>
        </w:rPr>
        <w:t>二、</w:t>
      </w:r>
      <w:r>
        <w:rPr>
          <w:rFonts w:hint="eastAsia"/>
          <w:b/>
          <w:bCs/>
          <w:color w:val="auto"/>
          <w:highlight w:val="none"/>
          <w:lang w:eastAsia="zh-CN"/>
        </w:rPr>
        <w:t>申请人</w:t>
      </w:r>
      <w:r>
        <w:rPr>
          <w:rFonts w:hint="eastAsia" w:eastAsia="宋体"/>
          <w:b/>
          <w:bCs/>
          <w:color w:val="auto"/>
          <w:highlight w:val="none"/>
          <w:lang w:eastAsia="zh-CN"/>
        </w:rPr>
        <w:t>资格要求：</w:t>
      </w:r>
      <w:bookmarkEnd w:id="20"/>
      <w:r>
        <w:rPr>
          <w:rFonts w:hint="eastAsia" w:eastAsia="宋体"/>
          <w:b/>
          <w:bCs/>
          <w:color w:val="auto"/>
          <w:highlight w:val="none"/>
          <w:lang w:eastAsia="zh-CN"/>
        </w:rPr>
        <w:t xml:space="preserve"> </w:t>
      </w:r>
    </w:p>
    <w:p w14:paraId="3C43804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bookmarkStart w:id="21" w:name="OLE_LINK104"/>
      <w:r>
        <w:rPr>
          <w:rFonts w:hint="eastAsia" w:eastAsia="宋体"/>
          <w:color w:val="auto"/>
          <w:highlight w:val="none"/>
          <w:lang w:eastAsia="zh-CN"/>
        </w:rPr>
        <w:t>1.</w:t>
      </w:r>
      <w:r>
        <w:rPr>
          <w:rFonts w:hint="eastAsia"/>
          <w:color w:val="auto"/>
          <w:highlight w:val="none"/>
          <w:lang w:eastAsia="zh-CN"/>
        </w:rPr>
        <w:t>满足</w:t>
      </w:r>
      <w:r>
        <w:rPr>
          <w:rFonts w:hint="eastAsia" w:eastAsia="宋体"/>
          <w:color w:val="auto"/>
          <w:highlight w:val="none"/>
          <w:lang w:eastAsia="zh-CN"/>
        </w:rPr>
        <w:t>《中华人民共和国政府采购法》第二十二条规定：</w:t>
      </w:r>
    </w:p>
    <w:p w14:paraId="3E3C492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2.落实政府采购政策满足的资格要求：无。</w:t>
      </w:r>
    </w:p>
    <w:p w14:paraId="5F8569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3.本项目的特定资格要求：</w:t>
      </w:r>
    </w:p>
    <w:p w14:paraId="7D9B5DD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bookmarkStart w:id="22" w:name="OLE_LINK18"/>
      <w:bookmarkStart w:id="23" w:name="OLE_LINK13"/>
      <w:r>
        <w:rPr>
          <w:rFonts w:hint="eastAsia" w:eastAsia="宋体"/>
          <w:color w:val="auto"/>
          <w:highlight w:val="none"/>
          <w:lang w:eastAsia="zh-CN"/>
        </w:rPr>
        <w:t>3.1</w:t>
      </w:r>
      <w:r>
        <w:rPr>
          <w:rFonts w:hint="eastAsia"/>
          <w:color w:val="auto"/>
          <w:highlight w:val="none"/>
          <w:lang w:eastAsia="zh-CN"/>
        </w:rPr>
        <w:t>资质</w:t>
      </w:r>
      <w:r>
        <w:rPr>
          <w:rFonts w:hint="eastAsia" w:eastAsia="宋体"/>
          <w:color w:val="auto"/>
          <w:highlight w:val="none"/>
          <w:lang w:eastAsia="zh-CN"/>
        </w:rPr>
        <w:t>要求</w:t>
      </w:r>
    </w:p>
    <w:p w14:paraId="3A30285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3.1.2设计资质：</w:t>
      </w:r>
    </w:p>
    <w:p w14:paraId="6941AE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①</w:t>
      </w:r>
      <w:r>
        <w:rPr>
          <w:rFonts w:hint="eastAsia"/>
          <w:color w:val="auto"/>
          <w:highlight w:val="none"/>
          <w:lang w:eastAsia="zh-CN"/>
        </w:rPr>
        <w:t>供应商</w:t>
      </w:r>
      <w:r>
        <w:rPr>
          <w:rFonts w:hint="eastAsia" w:eastAsia="宋体"/>
          <w:color w:val="auto"/>
          <w:highlight w:val="none"/>
          <w:lang w:eastAsia="zh-CN"/>
        </w:rPr>
        <w:t>应具有</w:t>
      </w:r>
      <w:r>
        <w:rPr>
          <w:rFonts w:hint="eastAsia" w:eastAsia="宋体"/>
          <w:strike w:val="0"/>
          <w:dstrike w:val="0"/>
          <w:color w:val="auto"/>
          <w:highlight w:val="none"/>
          <w:lang w:eastAsia="zh-CN"/>
        </w:rPr>
        <w:t>综合设计甲级资质或工</w:t>
      </w:r>
      <w:r>
        <w:rPr>
          <w:rFonts w:hint="eastAsia" w:eastAsia="宋体"/>
          <w:color w:val="auto"/>
          <w:highlight w:val="none"/>
          <w:lang w:eastAsia="zh-CN"/>
        </w:rPr>
        <w:t>程设计电子通信广电行业（电子工程）乙级</w:t>
      </w:r>
      <w:r>
        <w:rPr>
          <w:rFonts w:hint="eastAsia"/>
          <w:color w:val="auto"/>
          <w:highlight w:val="none"/>
          <w:lang w:eastAsia="zh"/>
          <w:woUserID w:val="1"/>
        </w:rPr>
        <w:t>及</w:t>
      </w:r>
      <w:r>
        <w:rPr>
          <w:rFonts w:hint="eastAsia" w:eastAsia="宋体"/>
          <w:color w:val="auto"/>
          <w:highlight w:val="none"/>
          <w:lang w:eastAsia="zh-CN"/>
        </w:rPr>
        <w:t>以上资质或市场行政主管部门特种设备设计许可证（压力管道）GC2</w:t>
      </w:r>
      <w:r>
        <w:rPr>
          <w:rFonts w:hint="eastAsia"/>
          <w:color w:val="auto"/>
          <w:highlight w:val="none"/>
          <w:lang w:eastAsia="zh"/>
          <w:woUserID w:val="1"/>
        </w:rPr>
        <w:t>及以上</w:t>
      </w:r>
      <w:r>
        <w:rPr>
          <w:rFonts w:hint="eastAsia" w:eastAsia="宋体"/>
          <w:color w:val="auto"/>
          <w:highlight w:val="none"/>
          <w:lang w:eastAsia="zh-CN"/>
        </w:rPr>
        <w:t>级别。</w:t>
      </w:r>
    </w:p>
    <w:p w14:paraId="19C7921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3.1.3施工资质：</w:t>
      </w:r>
    </w:p>
    <w:p w14:paraId="73EF7EC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①</w:t>
      </w:r>
      <w:r>
        <w:rPr>
          <w:rFonts w:hint="eastAsia"/>
          <w:color w:val="auto"/>
          <w:highlight w:val="none"/>
          <w:lang w:eastAsia="zh-CN"/>
        </w:rPr>
        <w:t>供应商</w:t>
      </w:r>
      <w:r>
        <w:rPr>
          <w:rFonts w:hint="eastAsia" w:eastAsia="宋体"/>
          <w:color w:val="auto"/>
          <w:highlight w:val="none"/>
          <w:lang w:eastAsia="zh-CN"/>
        </w:rPr>
        <w:t>应具有建设行政主管部门颁发的建筑机电安装工程专业承包二级及以上资质，且具有有效的安全生产许可证。</w:t>
      </w:r>
    </w:p>
    <w:p w14:paraId="5F0EA70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②</w:t>
      </w:r>
      <w:r>
        <w:rPr>
          <w:rFonts w:hint="eastAsia"/>
          <w:color w:val="auto"/>
          <w:highlight w:val="none"/>
          <w:lang w:eastAsia="zh-CN"/>
        </w:rPr>
        <w:t>供应商</w:t>
      </w:r>
      <w:r>
        <w:rPr>
          <w:rFonts w:hint="eastAsia" w:eastAsia="宋体"/>
          <w:color w:val="auto"/>
          <w:highlight w:val="none"/>
          <w:lang w:eastAsia="zh-CN"/>
        </w:rPr>
        <w:t>应同时具有市场行政主管部门特种设备安装改造维修许可证（压力管道）GC</w:t>
      </w:r>
      <w:r>
        <w:rPr>
          <w:rFonts w:hint="eastAsia" w:eastAsia="宋体"/>
          <w:color w:val="auto"/>
          <w:highlight w:val="none"/>
          <w:lang w:eastAsia="zh"/>
        </w:rPr>
        <w:t>2</w:t>
      </w:r>
      <w:r>
        <w:rPr>
          <w:rFonts w:hint="eastAsia"/>
          <w:color w:val="auto"/>
          <w:highlight w:val="none"/>
          <w:lang w:eastAsia="zh"/>
          <w:woUserID w:val="1"/>
        </w:rPr>
        <w:t>及以上</w:t>
      </w:r>
      <w:r>
        <w:rPr>
          <w:rFonts w:hint="eastAsia" w:eastAsia="宋体"/>
          <w:color w:val="auto"/>
          <w:highlight w:val="none"/>
          <w:lang w:eastAsia="zh-CN"/>
        </w:rPr>
        <w:t>级别。</w:t>
      </w:r>
    </w:p>
    <w:p w14:paraId="3A1E9EA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strike w:val="0"/>
          <w:dstrike w:val="0"/>
          <w:color w:val="auto"/>
          <w:highlight w:val="none"/>
          <w:lang w:eastAsia="zh-CN"/>
        </w:rPr>
      </w:pPr>
      <w:r>
        <w:rPr>
          <w:rFonts w:hint="eastAsia" w:eastAsia="宋体"/>
          <w:strike w:val="0"/>
          <w:dstrike w:val="0"/>
          <w:color w:val="auto"/>
          <w:highlight w:val="none"/>
          <w:lang w:eastAsia="zh-CN"/>
        </w:rPr>
        <w:t>备注：根据《住房城乡建设部关于进一步加强建设工程企业资质审批管理工作的通知》（建市规〔2023〕3号）和《河南省住房和城乡建设厅关于进一步规范建设工程企业资质管理的通知》豫建行规〔2024〕7号文件规定，河南省企业被全国和河南省建筑市场监管公共服务平台标注为资质异常的，不能使用标注异常资质承揽本工程</w:t>
      </w:r>
      <w:r>
        <w:rPr>
          <w:rFonts w:hint="eastAsia"/>
          <w:strike w:val="0"/>
          <w:dstrike w:val="0"/>
          <w:color w:val="auto"/>
          <w:highlight w:val="none"/>
          <w:lang w:eastAsia="zh-CN"/>
        </w:rPr>
        <w:t>，</w:t>
      </w:r>
      <w:r>
        <w:rPr>
          <w:rFonts w:hint="eastAsia" w:eastAsia="宋体"/>
          <w:strike w:val="0"/>
          <w:dstrike w:val="0"/>
          <w:color w:val="auto"/>
          <w:highlight w:val="none"/>
          <w:lang w:eastAsia="zh-CN"/>
        </w:rPr>
        <w:t>提供全国和河南省建筑市场监管公共服务平台查询截图；外省企业被全国建筑市场监管公共服务平台标注为资质异常的，不能使用标注异常资质承揽本工程，至少提供全国建筑市场监管公共服务平台查询截图。</w:t>
      </w:r>
    </w:p>
    <w:bookmarkEnd w:id="22"/>
    <w:bookmarkEnd w:id="23"/>
    <w:p w14:paraId="5433C2E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2</w:t>
      </w:r>
      <w:r>
        <w:rPr>
          <w:rFonts w:hint="eastAsia" w:eastAsia="宋体"/>
          <w:color w:val="auto"/>
          <w:highlight w:val="none"/>
          <w:lang w:eastAsia="zh-CN"/>
        </w:rPr>
        <w:t>人员要求：</w:t>
      </w:r>
    </w:p>
    <w:p w14:paraId="5713053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2</w:t>
      </w:r>
      <w:r>
        <w:rPr>
          <w:rFonts w:hint="eastAsia" w:eastAsia="宋体"/>
          <w:color w:val="auto"/>
          <w:highlight w:val="none"/>
          <w:lang w:eastAsia="zh-CN"/>
        </w:rPr>
        <w:t>.1拟派设计负责人</w:t>
      </w:r>
    </w:p>
    <w:p w14:paraId="3361ADA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rPr>
      </w:pPr>
      <w:r>
        <w:rPr>
          <w:rFonts w:hint="eastAsia" w:eastAsia="宋体"/>
          <w:color w:val="auto"/>
          <w:highlight w:val="none"/>
          <w:lang w:eastAsia="zh-CN"/>
        </w:rPr>
        <w:t>①</w:t>
      </w:r>
      <w:r>
        <w:rPr>
          <w:rFonts w:hint="eastAsia"/>
          <w:color w:val="auto"/>
          <w:highlight w:val="none"/>
          <w:lang w:eastAsia="zh-CN"/>
        </w:rPr>
        <w:t>供应商</w:t>
      </w:r>
      <w:r>
        <w:rPr>
          <w:rFonts w:hint="eastAsia" w:eastAsia="宋体"/>
          <w:color w:val="auto"/>
          <w:highlight w:val="none"/>
          <w:lang w:eastAsia="zh-CN"/>
        </w:rPr>
        <w:t>拟派设计负责人须具有相关专业副高级及以上职称</w:t>
      </w:r>
    </w:p>
    <w:p w14:paraId="51AAD3E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②拟派设计负责人应为</w:t>
      </w:r>
      <w:r>
        <w:rPr>
          <w:rFonts w:hint="eastAsia"/>
          <w:color w:val="auto"/>
          <w:highlight w:val="none"/>
          <w:lang w:eastAsia="zh-CN"/>
        </w:rPr>
        <w:t>供应商</w:t>
      </w:r>
      <w:r>
        <w:rPr>
          <w:rFonts w:hint="eastAsia" w:eastAsia="宋体"/>
          <w:color w:val="auto"/>
          <w:highlight w:val="none"/>
          <w:lang w:eastAsia="zh-CN"/>
        </w:rPr>
        <w:t>在职正式员工，具有本单位（或其不具备独立法人资格的分支机构）为其缴纳的</w:t>
      </w:r>
      <w:r>
        <w:rPr>
          <w:rFonts w:hint="eastAsia"/>
          <w:color w:val="auto"/>
          <w:highlight w:val="none"/>
          <w:lang w:eastAsia="zh-CN"/>
        </w:rPr>
        <w:t>响应文件开启</w:t>
      </w:r>
      <w:r>
        <w:rPr>
          <w:rFonts w:hint="eastAsia" w:eastAsia="宋体"/>
          <w:color w:val="auto"/>
          <w:highlight w:val="none"/>
          <w:lang w:eastAsia="zh-CN"/>
        </w:rPr>
        <w:t>前半年内连续3个月的社保证明材料的扫描件。</w:t>
      </w:r>
    </w:p>
    <w:p w14:paraId="126C931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2</w:t>
      </w:r>
      <w:r>
        <w:rPr>
          <w:rFonts w:hint="eastAsia" w:eastAsia="宋体"/>
          <w:color w:val="auto"/>
          <w:highlight w:val="none"/>
          <w:lang w:eastAsia="zh-CN"/>
        </w:rPr>
        <w:t>.2拟派项目经理</w:t>
      </w:r>
    </w:p>
    <w:p w14:paraId="30E73D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①拟派项目经理具备机电工程专业二级</w:t>
      </w:r>
      <w:r>
        <w:rPr>
          <w:rFonts w:hint="eastAsia" w:eastAsia="宋体"/>
          <w:color w:val="auto"/>
          <w:highlight w:val="none"/>
          <w:lang w:eastAsia="zh"/>
        </w:rPr>
        <w:t>及以上</w:t>
      </w:r>
      <w:r>
        <w:rPr>
          <w:rFonts w:hint="eastAsia" w:eastAsia="宋体"/>
          <w:color w:val="auto"/>
          <w:highlight w:val="none"/>
          <w:lang w:eastAsia="zh-CN"/>
        </w:rPr>
        <w:t>注册建造师证书，具有有效的安全生产考核合格证（B证），且没有正在施工的工程项目（无在建项目须提供承诺书</w:t>
      </w:r>
      <w:r>
        <w:rPr>
          <w:rFonts w:hint="eastAsia"/>
          <w:color w:val="auto"/>
          <w:highlight w:val="none"/>
          <w:lang w:eastAsia="zh-CN"/>
        </w:rPr>
        <w:t>，格式</w:t>
      </w:r>
      <w:r>
        <w:rPr>
          <w:rFonts w:hint="eastAsia"/>
          <w:color w:val="auto"/>
          <w:highlight w:val="none"/>
          <w:lang w:eastAsia="zh"/>
          <w:woUserID w:val="3"/>
        </w:rPr>
        <w:t>后附</w:t>
      </w:r>
      <w:r>
        <w:rPr>
          <w:rFonts w:hint="eastAsia" w:eastAsia="宋体"/>
          <w:color w:val="auto"/>
          <w:highlight w:val="none"/>
          <w:lang w:eastAsia="zh-CN"/>
        </w:rPr>
        <w:t>）；</w:t>
      </w:r>
    </w:p>
    <w:p w14:paraId="1D0370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②拟派项目经理应为</w:t>
      </w:r>
      <w:r>
        <w:rPr>
          <w:rFonts w:hint="eastAsia"/>
          <w:color w:val="auto"/>
          <w:highlight w:val="none"/>
          <w:lang w:eastAsia="zh-CN"/>
        </w:rPr>
        <w:t>供应商</w:t>
      </w:r>
      <w:r>
        <w:rPr>
          <w:rFonts w:hint="eastAsia" w:eastAsia="宋体"/>
          <w:color w:val="auto"/>
          <w:highlight w:val="none"/>
          <w:lang w:eastAsia="zh-CN"/>
        </w:rPr>
        <w:t>在职正式员工，具有本单位（或其不具备独立法人资格的分支机构）为其缴纳的</w:t>
      </w:r>
      <w:r>
        <w:rPr>
          <w:rFonts w:hint="eastAsia"/>
          <w:color w:val="auto"/>
          <w:highlight w:val="none"/>
          <w:lang w:eastAsia="zh-CN"/>
        </w:rPr>
        <w:t>响应文件开启</w:t>
      </w:r>
      <w:r>
        <w:rPr>
          <w:rFonts w:hint="eastAsia" w:eastAsia="宋体"/>
          <w:color w:val="auto"/>
          <w:highlight w:val="none"/>
          <w:lang w:eastAsia="zh-CN"/>
        </w:rPr>
        <w:t>前半年内连续3个月</w:t>
      </w:r>
      <w:r>
        <w:rPr>
          <w:rFonts w:hint="eastAsia"/>
          <w:color w:val="auto"/>
          <w:highlight w:val="none"/>
          <w:lang w:eastAsia="zh"/>
          <w:woUserID w:val="1"/>
        </w:rPr>
        <w:t>（不含开启当月）</w:t>
      </w:r>
      <w:r>
        <w:rPr>
          <w:rFonts w:hint="eastAsia" w:eastAsia="宋体"/>
          <w:color w:val="auto"/>
          <w:highlight w:val="none"/>
          <w:lang w:eastAsia="zh-CN"/>
        </w:rPr>
        <w:t>的社保证明材料的扫描件。</w:t>
      </w:r>
    </w:p>
    <w:p w14:paraId="2500A8D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3</w:t>
      </w:r>
      <w:r>
        <w:rPr>
          <w:rFonts w:hint="eastAsia" w:eastAsia="宋体"/>
          <w:color w:val="auto"/>
          <w:highlight w:val="none"/>
          <w:lang w:eastAsia="zh-CN"/>
        </w:rPr>
        <w:t>供应商在“信用中国”网站（www.creditchina.gov.cn）未被列入失信被执行人、重大税收违法失信主体；在“中国政府采购网”网站（www.ccgp.gov.cn）未被列入政府采购严重违法失信行为记录名单；</w:t>
      </w:r>
    </w:p>
    <w:p w14:paraId="3DCBA56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4</w:t>
      </w:r>
      <w:r>
        <w:rPr>
          <w:rFonts w:hint="eastAsia" w:eastAsia="宋体"/>
          <w:color w:val="auto"/>
          <w:highlight w:val="none"/>
          <w:lang w:eastAsia="zh-CN"/>
        </w:rPr>
        <w:t>供应商与采购人、采购人就本次采购的项目委托的咨询机构、采购代理机构、以及上述机构的附属机构没有行政或经济关联；</w:t>
      </w:r>
    </w:p>
    <w:p w14:paraId="7B825FC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5</w:t>
      </w:r>
      <w:r>
        <w:rPr>
          <w:rFonts w:hint="eastAsia" w:eastAsia="宋体"/>
          <w:color w:val="auto"/>
          <w:highlight w:val="none"/>
          <w:lang w:eastAsia="zh-CN"/>
        </w:rPr>
        <w:t>为采购项目提供整体设计、规范编制或者项目管理、监理、检测等服务的供应商，不得再参加该采购项目的其他采购活动；</w:t>
      </w:r>
    </w:p>
    <w:p w14:paraId="02E10D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6</w:t>
      </w:r>
      <w:r>
        <w:rPr>
          <w:rFonts w:hint="eastAsia" w:eastAsia="宋体"/>
          <w:color w:val="auto"/>
          <w:highlight w:val="none"/>
          <w:lang w:eastAsia="zh-CN"/>
        </w:rPr>
        <w:t>本次竞争性磋商不接受联合体参加磋商；</w:t>
      </w:r>
    </w:p>
    <w:p w14:paraId="73F47B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7</w:t>
      </w:r>
      <w:r>
        <w:rPr>
          <w:rFonts w:hint="eastAsia" w:eastAsia="宋体"/>
          <w:color w:val="auto"/>
          <w:highlight w:val="none"/>
          <w:lang w:eastAsia="zh-CN"/>
        </w:rPr>
        <w:t>单位负责人为同一人或者存在直接控股、管理关系的不同供应商，不得参加同一合同项下的政府采购活动；</w:t>
      </w:r>
    </w:p>
    <w:p w14:paraId="5BB2B7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8</w:t>
      </w:r>
      <w:r>
        <w:rPr>
          <w:rFonts w:hint="eastAsia" w:eastAsia="宋体"/>
          <w:color w:val="auto"/>
          <w:highlight w:val="none"/>
          <w:lang w:eastAsia="zh-CN"/>
        </w:rPr>
        <w:t>法律、行政法规规定的其他条件；</w:t>
      </w:r>
    </w:p>
    <w:p w14:paraId="5F2FAB4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9</w:t>
      </w:r>
      <w:r>
        <w:rPr>
          <w:rFonts w:hint="eastAsia" w:eastAsia="宋体"/>
          <w:color w:val="auto"/>
          <w:highlight w:val="none"/>
          <w:lang w:eastAsia="zh-CN"/>
        </w:rPr>
        <w:t>提供反商业贿赂承诺书</w:t>
      </w:r>
      <w:bookmarkEnd w:id="21"/>
      <w:r>
        <w:rPr>
          <w:rFonts w:hint="eastAsia" w:eastAsia="宋体"/>
          <w:color w:val="auto"/>
          <w:highlight w:val="none"/>
          <w:lang w:eastAsia="zh-CN"/>
        </w:rPr>
        <w:t>。</w:t>
      </w:r>
    </w:p>
    <w:p w14:paraId="0E01F25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highlight w:val="none"/>
          <w:lang w:eastAsia="zh-CN"/>
        </w:rPr>
      </w:pPr>
      <w:bookmarkStart w:id="24" w:name="_Toc5799"/>
      <w:r>
        <w:rPr>
          <w:rFonts w:hint="eastAsia" w:eastAsia="宋体"/>
          <w:b/>
          <w:bCs/>
          <w:color w:val="auto"/>
          <w:highlight w:val="none"/>
          <w:lang w:eastAsia="zh-CN"/>
        </w:rPr>
        <w:t>三、</w:t>
      </w:r>
      <w:bookmarkEnd w:id="24"/>
      <w:r>
        <w:rPr>
          <w:rFonts w:hint="eastAsia"/>
          <w:b/>
          <w:bCs/>
          <w:color w:val="auto"/>
          <w:highlight w:val="none"/>
          <w:lang w:eastAsia="zh-CN"/>
        </w:rPr>
        <w:t>获取采购文件</w:t>
      </w:r>
    </w:p>
    <w:p w14:paraId="5CE561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bookmarkStart w:id="25" w:name="_Toc213079454"/>
      <w:bookmarkStart w:id="26" w:name="_Toc13916"/>
      <w:bookmarkStart w:id="27" w:name="_Toc16343"/>
      <w:r>
        <w:rPr>
          <w:rFonts w:hint="eastAsia" w:eastAsia="宋体"/>
          <w:color w:val="auto"/>
          <w:highlight w:val="none"/>
          <w:lang w:eastAsia="zh-CN"/>
        </w:rPr>
        <w:t>1.时间：202</w:t>
      </w:r>
      <w:r>
        <w:rPr>
          <w:rFonts w:hint="eastAsia"/>
          <w:color w:val="auto"/>
          <w:highlight w:val="none"/>
          <w:lang w:eastAsia="zh"/>
          <w:woUserID w:val="3"/>
        </w:rPr>
        <w:t>6</w:t>
      </w:r>
      <w:r>
        <w:rPr>
          <w:rFonts w:hint="eastAsia" w:eastAsia="宋体"/>
          <w:color w:val="auto"/>
          <w:highlight w:val="none"/>
          <w:lang w:eastAsia="zh-CN"/>
        </w:rPr>
        <w:t>年</w:t>
      </w:r>
      <w:r>
        <w:rPr>
          <w:rFonts w:hint="eastAsia"/>
          <w:color w:val="auto"/>
          <w:highlight w:val="none"/>
          <w:lang w:val="en-US" w:eastAsia="zh-CN"/>
        </w:rPr>
        <w:t>2</w:t>
      </w:r>
      <w:r>
        <w:rPr>
          <w:rFonts w:hint="eastAsia" w:eastAsia="宋体"/>
          <w:color w:val="auto"/>
          <w:highlight w:val="none"/>
          <w:lang w:eastAsia="zh-CN"/>
        </w:rPr>
        <w:t>月</w:t>
      </w:r>
      <w:r>
        <w:rPr>
          <w:rFonts w:hint="eastAsia"/>
          <w:color w:val="auto"/>
          <w:highlight w:val="none"/>
          <w:lang w:val="en-US" w:eastAsia="zh-CN"/>
        </w:rPr>
        <w:t>10</w:t>
      </w:r>
      <w:r>
        <w:rPr>
          <w:rFonts w:hint="eastAsia" w:eastAsia="宋体"/>
          <w:color w:val="auto"/>
          <w:highlight w:val="none"/>
          <w:lang w:eastAsia="zh-CN"/>
        </w:rPr>
        <w:t>日至202</w:t>
      </w:r>
      <w:r>
        <w:rPr>
          <w:rFonts w:hint="eastAsia"/>
          <w:color w:val="auto"/>
          <w:highlight w:val="none"/>
          <w:lang w:eastAsia="zh"/>
          <w:woUserID w:val="3"/>
        </w:rPr>
        <w:t>6</w:t>
      </w:r>
      <w:r>
        <w:rPr>
          <w:rFonts w:hint="eastAsia" w:eastAsia="宋体"/>
          <w:color w:val="auto"/>
          <w:highlight w:val="none"/>
          <w:lang w:eastAsia="zh-CN"/>
        </w:rPr>
        <w:t>年</w:t>
      </w:r>
      <w:r>
        <w:rPr>
          <w:rFonts w:hint="eastAsia"/>
          <w:color w:val="auto"/>
          <w:highlight w:val="none"/>
          <w:lang w:val="en-US" w:eastAsia="zh-CN"/>
        </w:rPr>
        <w:t>2</w:t>
      </w:r>
      <w:r>
        <w:rPr>
          <w:rFonts w:hint="eastAsia" w:eastAsia="宋体"/>
          <w:color w:val="auto"/>
          <w:highlight w:val="none"/>
          <w:lang w:eastAsia="zh-CN"/>
        </w:rPr>
        <w:t>月</w:t>
      </w:r>
      <w:r>
        <w:rPr>
          <w:rFonts w:hint="eastAsia"/>
          <w:color w:val="auto"/>
          <w:highlight w:val="none"/>
          <w:lang w:val="en-US" w:eastAsia="zh-CN"/>
        </w:rPr>
        <w:t>14</w:t>
      </w:r>
      <w:r>
        <w:rPr>
          <w:rFonts w:hint="eastAsia" w:eastAsia="宋体"/>
          <w:color w:val="auto"/>
          <w:highlight w:val="none"/>
          <w:lang w:eastAsia="zh-CN"/>
        </w:rPr>
        <w:t>日，每天上午00:00至12:00，下午12:00至23:59（北京时间，法定节假日除外）；</w:t>
      </w:r>
    </w:p>
    <w:p w14:paraId="37DC92C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2.地点：河南省公共资源交易中心（</w:t>
      </w:r>
      <w:r>
        <w:rPr>
          <w:rFonts w:hint="eastAsia" w:eastAsia="宋体"/>
          <w:color w:val="auto"/>
          <w:highlight w:val="none"/>
          <w:lang w:eastAsia="zh-CN"/>
        </w:rPr>
        <w:fldChar w:fldCharType="begin"/>
      </w:r>
      <w:r>
        <w:rPr>
          <w:rFonts w:hint="eastAsia" w:eastAsia="宋体"/>
          <w:color w:val="auto"/>
          <w:highlight w:val="none"/>
          <w:lang w:eastAsia="zh-CN"/>
        </w:rPr>
        <w:instrText xml:space="preserve"> HYPERLINK "http://hnsggzyjy.henan.gov.cn" </w:instrText>
      </w:r>
      <w:r>
        <w:rPr>
          <w:rFonts w:hint="eastAsia" w:eastAsia="宋体"/>
          <w:color w:val="auto"/>
          <w:highlight w:val="none"/>
          <w:lang w:eastAsia="zh-CN"/>
        </w:rPr>
        <w:fldChar w:fldCharType="separate"/>
      </w:r>
      <w:r>
        <w:rPr>
          <w:rFonts w:hint="eastAsia" w:eastAsia="宋体"/>
          <w:color w:val="auto"/>
          <w:highlight w:val="none"/>
          <w:lang w:eastAsia="zh-CN"/>
        </w:rPr>
        <w:t>http://hnsggzyjy.henan.gov.cn</w:t>
      </w:r>
      <w:r>
        <w:rPr>
          <w:rFonts w:hint="eastAsia" w:eastAsia="宋体"/>
          <w:color w:val="auto"/>
          <w:highlight w:val="none"/>
          <w:lang w:eastAsia="zh-CN"/>
        </w:rPr>
        <w:fldChar w:fldCharType="end"/>
      </w:r>
      <w:r>
        <w:rPr>
          <w:rFonts w:hint="eastAsia" w:eastAsia="宋体"/>
          <w:color w:val="auto"/>
          <w:highlight w:val="none"/>
          <w:lang w:eastAsia="zh-CN"/>
        </w:rPr>
        <w:t>）；</w:t>
      </w:r>
    </w:p>
    <w:p w14:paraId="3D197A0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3.方式：登录“河南省公共资源交易中心（</w:t>
      </w:r>
      <w:r>
        <w:rPr>
          <w:rFonts w:hint="eastAsia" w:eastAsia="宋体"/>
          <w:color w:val="auto"/>
          <w:highlight w:val="none"/>
          <w:lang w:eastAsia="zh-CN"/>
        </w:rPr>
        <w:fldChar w:fldCharType="begin"/>
      </w:r>
      <w:r>
        <w:rPr>
          <w:rFonts w:hint="eastAsia" w:eastAsia="宋体"/>
          <w:color w:val="auto"/>
          <w:highlight w:val="none"/>
          <w:lang w:eastAsia="zh-CN"/>
        </w:rPr>
        <w:instrText xml:space="preserve"> HYPERLINK "http://hnsggzyjy.henan.gov.cn" </w:instrText>
      </w:r>
      <w:r>
        <w:rPr>
          <w:rFonts w:hint="eastAsia" w:eastAsia="宋体"/>
          <w:color w:val="auto"/>
          <w:highlight w:val="none"/>
          <w:lang w:eastAsia="zh-CN"/>
        </w:rPr>
        <w:fldChar w:fldCharType="separate"/>
      </w:r>
      <w:r>
        <w:rPr>
          <w:rFonts w:hint="eastAsia" w:eastAsia="宋体"/>
          <w:color w:val="auto"/>
          <w:highlight w:val="none"/>
          <w:lang w:eastAsia="zh-CN"/>
        </w:rPr>
        <w:t>http://hnsggzyjy.henan.gov.cn</w:t>
      </w:r>
      <w:r>
        <w:rPr>
          <w:rFonts w:hint="eastAsia" w:eastAsia="宋体"/>
          <w:color w:val="auto"/>
          <w:highlight w:val="none"/>
          <w:lang w:eastAsia="zh-CN"/>
        </w:rPr>
        <w:fldChar w:fldCharType="end"/>
      </w:r>
      <w:r>
        <w:rPr>
          <w:rFonts w:hint="eastAsia" w:eastAsia="宋体"/>
          <w:color w:val="auto"/>
          <w:highlight w:val="none"/>
          <w:lang w:eastAsia="zh-CN"/>
        </w:rPr>
        <w:t>）”,凭企业身份认证锁（CA 密钥）下载采购文件。市场主体需要完成信息登记及CA数字证书办理，才能通过河南省公共资源交易平台参与交易活动，具体办理事宜请查阅河南省公共资源交易中心网站“办事指南”专区的《新交易平台使用手册》。</w:t>
      </w:r>
    </w:p>
    <w:p w14:paraId="49BE93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4.售价：0 元。</w:t>
      </w:r>
    </w:p>
    <w:p w14:paraId="36D3583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highlight w:val="none"/>
          <w:lang w:eastAsia="zh-CN"/>
        </w:rPr>
      </w:pPr>
      <w:r>
        <w:rPr>
          <w:rFonts w:hint="eastAsia" w:eastAsia="宋体"/>
          <w:b/>
          <w:bCs/>
          <w:color w:val="auto"/>
          <w:highlight w:val="none"/>
          <w:lang w:eastAsia="zh-CN"/>
        </w:rPr>
        <w:t>四、响应文件提交</w:t>
      </w:r>
      <w:bookmarkEnd w:id="25"/>
      <w:bookmarkEnd w:id="26"/>
      <w:bookmarkEnd w:id="27"/>
    </w:p>
    <w:p w14:paraId="56CBDF5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bookmarkStart w:id="28" w:name="_Toc16961"/>
      <w:bookmarkStart w:id="29" w:name="_Toc213079455"/>
      <w:bookmarkStart w:id="30" w:name="_Toc9028"/>
      <w:r>
        <w:rPr>
          <w:rFonts w:hint="eastAsia" w:eastAsia="宋体"/>
          <w:color w:val="auto"/>
          <w:highlight w:val="none"/>
          <w:lang w:eastAsia="zh-CN"/>
        </w:rPr>
        <w:t>1.截止时间：202</w:t>
      </w:r>
      <w:r>
        <w:rPr>
          <w:rFonts w:hint="eastAsia"/>
          <w:color w:val="auto"/>
          <w:highlight w:val="none"/>
          <w:lang w:eastAsia="zh"/>
          <w:woUserID w:val="3"/>
        </w:rPr>
        <w:t>6</w:t>
      </w:r>
      <w:r>
        <w:rPr>
          <w:rFonts w:hint="eastAsia" w:eastAsia="宋体"/>
          <w:color w:val="auto"/>
          <w:highlight w:val="none"/>
          <w:lang w:eastAsia="zh-CN"/>
        </w:rPr>
        <w:t>年</w:t>
      </w:r>
      <w:r>
        <w:rPr>
          <w:rFonts w:hint="eastAsia"/>
          <w:color w:val="auto"/>
          <w:highlight w:val="none"/>
          <w:lang w:val="en-US" w:eastAsia="zh-CN"/>
        </w:rPr>
        <w:t>3</w:t>
      </w:r>
      <w:r>
        <w:rPr>
          <w:rFonts w:hint="eastAsia" w:eastAsia="宋体"/>
          <w:color w:val="auto"/>
          <w:highlight w:val="none"/>
          <w:lang w:eastAsia="zh-CN"/>
        </w:rPr>
        <w:t>月</w:t>
      </w:r>
      <w:r>
        <w:rPr>
          <w:rFonts w:hint="eastAsia"/>
          <w:color w:val="auto"/>
          <w:highlight w:val="none"/>
          <w:lang w:val="en-US" w:eastAsia="zh-CN"/>
        </w:rPr>
        <w:t>5</w:t>
      </w:r>
      <w:r>
        <w:rPr>
          <w:rFonts w:hint="eastAsia" w:eastAsia="宋体"/>
          <w:color w:val="auto"/>
          <w:highlight w:val="none"/>
          <w:lang w:eastAsia="zh-CN"/>
        </w:rPr>
        <w:t>日</w:t>
      </w:r>
      <w:r>
        <w:rPr>
          <w:rFonts w:hint="eastAsia"/>
          <w:color w:val="auto"/>
          <w:highlight w:val="none"/>
          <w:lang w:val="en-US" w:eastAsia="zh-CN"/>
        </w:rPr>
        <w:t>9</w:t>
      </w:r>
      <w:r>
        <w:rPr>
          <w:rFonts w:hint="eastAsia" w:eastAsia="宋体"/>
          <w:color w:val="auto"/>
          <w:highlight w:val="none"/>
          <w:lang w:eastAsia="zh-CN"/>
        </w:rPr>
        <w:t>时00分（北京时间）；</w:t>
      </w:r>
    </w:p>
    <w:p w14:paraId="4062A8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2.地点：加密电子</w:t>
      </w:r>
      <w:r>
        <w:rPr>
          <w:rFonts w:hint="eastAsia"/>
          <w:color w:val="auto"/>
          <w:highlight w:val="none"/>
          <w:lang w:eastAsia="zh-CN"/>
        </w:rPr>
        <w:t>响应文件</w:t>
      </w:r>
      <w:r>
        <w:rPr>
          <w:rFonts w:hint="eastAsia" w:eastAsia="宋体"/>
          <w:color w:val="auto"/>
          <w:highlight w:val="none"/>
          <w:lang w:eastAsia="zh-CN"/>
        </w:rPr>
        <w:t>须在</w:t>
      </w:r>
      <w:r>
        <w:rPr>
          <w:rFonts w:hint="eastAsia"/>
          <w:color w:val="auto"/>
          <w:highlight w:val="none"/>
          <w:lang w:eastAsia="zh-CN"/>
        </w:rPr>
        <w:t>响应文件提交</w:t>
      </w:r>
      <w:r>
        <w:rPr>
          <w:rFonts w:hint="eastAsia" w:eastAsia="宋体"/>
          <w:color w:val="auto"/>
          <w:highlight w:val="none"/>
          <w:lang w:eastAsia="zh-CN"/>
        </w:rPr>
        <w:t>截止时间前通过“河南省公共资源交易中心（</w:t>
      </w:r>
      <w:r>
        <w:rPr>
          <w:rFonts w:hint="eastAsia" w:eastAsia="宋体"/>
          <w:color w:val="auto"/>
          <w:highlight w:val="none"/>
          <w:lang w:eastAsia="zh-CN"/>
        </w:rPr>
        <w:fldChar w:fldCharType="begin"/>
      </w:r>
      <w:r>
        <w:rPr>
          <w:rFonts w:hint="eastAsia" w:eastAsia="宋体"/>
          <w:color w:val="auto"/>
          <w:highlight w:val="none"/>
          <w:lang w:eastAsia="zh-CN"/>
        </w:rPr>
        <w:instrText xml:space="preserve"> HYPERLINK "http://hnsggzyjy.henan.gov.cn" </w:instrText>
      </w:r>
      <w:r>
        <w:rPr>
          <w:rFonts w:hint="eastAsia" w:eastAsia="宋体"/>
          <w:color w:val="auto"/>
          <w:highlight w:val="none"/>
          <w:lang w:eastAsia="zh-CN"/>
        </w:rPr>
        <w:fldChar w:fldCharType="separate"/>
      </w:r>
      <w:r>
        <w:rPr>
          <w:rFonts w:hint="eastAsia" w:eastAsia="宋体"/>
          <w:color w:val="auto"/>
          <w:highlight w:val="none"/>
          <w:lang w:eastAsia="zh-CN"/>
        </w:rPr>
        <w:t>http://hnsggzyjy.henan.gov.cn</w:t>
      </w:r>
      <w:r>
        <w:rPr>
          <w:rFonts w:hint="eastAsia" w:eastAsia="宋体"/>
          <w:color w:val="auto"/>
          <w:highlight w:val="none"/>
          <w:lang w:eastAsia="zh-CN"/>
        </w:rPr>
        <w:fldChar w:fldCharType="end"/>
      </w:r>
      <w:r>
        <w:rPr>
          <w:rFonts w:hint="eastAsia" w:eastAsia="宋体"/>
          <w:color w:val="auto"/>
          <w:highlight w:val="none"/>
          <w:lang w:eastAsia="zh-CN"/>
        </w:rPr>
        <w:t>）”电子交易平台加密上传。逾期上传的或者未上传指定地点的</w:t>
      </w:r>
      <w:r>
        <w:rPr>
          <w:rFonts w:hint="eastAsia"/>
          <w:color w:val="auto"/>
          <w:highlight w:val="none"/>
          <w:lang w:eastAsia="zh-CN"/>
        </w:rPr>
        <w:t>响应文件</w:t>
      </w:r>
      <w:r>
        <w:rPr>
          <w:rFonts w:hint="eastAsia" w:eastAsia="宋体"/>
          <w:color w:val="auto"/>
          <w:highlight w:val="none"/>
          <w:lang w:eastAsia="zh-CN"/>
        </w:rPr>
        <w:t>，采购人不予受理。</w:t>
      </w:r>
    </w:p>
    <w:p w14:paraId="12E0218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highlight w:val="none"/>
          <w:lang w:eastAsia="zh-CN"/>
        </w:rPr>
      </w:pPr>
      <w:r>
        <w:rPr>
          <w:rFonts w:hint="eastAsia" w:eastAsia="宋体"/>
          <w:b/>
          <w:bCs/>
          <w:color w:val="auto"/>
          <w:highlight w:val="none"/>
          <w:lang w:eastAsia="zh-CN"/>
        </w:rPr>
        <w:t>五、响应文件开启</w:t>
      </w:r>
      <w:bookmarkEnd w:id="28"/>
      <w:bookmarkEnd w:id="29"/>
      <w:bookmarkEnd w:id="30"/>
    </w:p>
    <w:p w14:paraId="784631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bookmarkStart w:id="31" w:name="_Toc16780"/>
      <w:bookmarkStart w:id="32" w:name="_Toc29368"/>
      <w:bookmarkStart w:id="33" w:name="_Toc213079456"/>
      <w:r>
        <w:rPr>
          <w:rFonts w:hint="eastAsia" w:eastAsia="宋体"/>
          <w:color w:val="auto"/>
          <w:highlight w:val="none"/>
          <w:lang w:eastAsia="zh-CN"/>
        </w:rPr>
        <w:t>1.时间：202</w:t>
      </w:r>
      <w:r>
        <w:rPr>
          <w:rFonts w:hint="eastAsia"/>
          <w:color w:val="auto"/>
          <w:highlight w:val="none"/>
          <w:lang w:eastAsia="zh"/>
          <w:woUserID w:val="3"/>
        </w:rPr>
        <w:t>6</w:t>
      </w:r>
      <w:r>
        <w:rPr>
          <w:rFonts w:hint="eastAsia" w:eastAsia="宋体"/>
          <w:color w:val="auto"/>
          <w:highlight w:val="none"/>
          <w:lang w:eastAsia="zh-CN"/>
        </w:rPr>
        <w:t>年</w:t>
      </w:r>
      <w:r>
        <w:rPr>
          <w:rFonts w:hint="eastAsia"/>
          <w:color w:val="auto"/>
          <w:highlight w:val="none"/>
          <w:lang w:val="en-US" w:eastAsia="zh-CN"/>
        </w:rPr>
        <w:t>3</w:t>
      </w:r>
      <w:r>
        <w:rPr>
          <w:rFonts w:hint="eastAsia" w:eastAsia="宋体"/>
          <w:color w:val="auto"/>
          <w:highlight w:val="none"/>
          <w:lang w:eastAsia="zh-CN"/>
        </w:rPr>
        <w:t>月</w:t>
      </w:r>
      <w:r>
        <w:rPr>
          <w:rFonts w:hint="eastAsia"/>
          <w:color w:val="auto"/>
          <w:highlight w:val="none"/>
          <w:lang w:val="en-US" w:eastAsia="zh-CN"/>
        </w:rPr>
        <w:t>5</w:t>
      </w:r>
      <w:r>
        <w:rPr>
          <w:rFonts w:hint="eastAsia" w:eastAsia="宋体"/>
          <w:color w:val="auto"/>
          <w:highlight w:val="none"/>
          <w:lang w:eastAsia="zh-CN"/>
        </w:rPr>
        <w:t>日</w:t>
      </w:r>
      <w:r>
        <w:rPr>
          <w:rFonts w:hint="eastAsia"/>
          <w:color w:val="auto"/>
          <w:highlight w:val="none"/>
          <w:lang w:val="en-US" w:eastAsia="zh-CN"/>
        </w:rPr>
        <w:t>9</w:t>
      </w:r>
      <w:r>
        <w:rPr>
          <w:rFonts w:hint="eastAsia" w:eastAsia="宋体"/>
          <w:color w:val="auto"/>
          <w:highlight w:val="none"/>
          <w:lang w:eastAsia="zh-CN"/>
        </w:rPr>
        <w:t>时00分（北京时间）；</w:t>
      </w:r>
    </w:p>
    <w:p w14:paraId="400286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2.地点：河南省公共资源交易中心远程开标室（郑州市经二路12号</w:t>
      </w:r>
      <w:r>
        <w:rPr>
          <w:rFonts w:hint="eastAsia"/>
          <w:color w:val="auto"/>
          <w:highlight w:val="none"/>
          <w:lang w:eastAsia="zh-CN"/>
        </w:rPr>
        <w:t>，</w:t>
      </w:r>
      <w:r>
        <w:rPr>
          <w:rFonts w:hint="eastAsia" w:eastAsia="宋体"/>
          <w:color w:val="auto"/>
          <w:highlight w:val="none"/>
          <w:lang w:eastAsia="zh-CN"/>
        </w:rPr>
        <w:t>经二路与纬四路交叉口向南50米路西）。</w:t>
      </w:r>
    </w:p>
    <w:p w14:paraId="190538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highlight w:val="none"/>
          <w:lang w:eastAsia="zh-CN"/>
        </w:rPr>
      </w:pPr>
      <w:r>
        <w:rPr>
          <w:rFonts w:hint="eastAsia" w:eastAsia="宋体"/>
          <w:b/>
          <w:bCs/>
          <w:color w:val="auto"/>
          <w:highlight w:val="none"/>
          <w:lang w:eastAsia="zh-CN"/>
        </w:rPr>
        <w:t>六、发布公告的媒介及</w:t>
      </w:r>
      <w:r>
        <w:rPr>
          <w:rFonts w:hint="eastAsia"/>
          <w:b/>
          <w:bCs/>
          <w:color w:val="auto"/>
          <w:highlight w:val="none"/>
          <w:lang w:eastAsia="zh-CN"/>
        </w:rPr>
        <w:t>招标</w:t>
      </w:r>
      <w:r>
        <w:rPr>
          <w:rFonts w:hint="eastAsia" w:eastAsia="宋体"/>
          <w:b/>
          <w:bCs/>
          <w:color w:val="auto"/>
          <w:highlight w:val="none"/>
          <w:lang w:eastAsia="zh-CN"/>
        </w:rPr>
        <w:t>公告期限</w:t>
      </w:r>
      <w:bookmarkEnd w:id="31"/>
      <w:bookmarkEnd w:id="32"/>
      <w:bookmarkEnd w:id="33"/>
    </w:p>
    <w:p w14:paraId="1E37053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bookmarkStart w:id="34" w:name="_Toc213079457"/>
      <w:bookmarkStart w:id="35" w:name="_Toc25720"/>
      <w:r>
        <w:rPr>
          <w:rFonts w:hint="eastAsia" w:eastAsia="宋体"/>
          <w:color w:val="auto"/>
          <w:highlight w:val="none"/>
          <w:lang w:eastAsia="zh-CN"/>
        </w:rPr>
        <w:t>本次</w:t>
      </w:r>
      <w:bookmarkStart w:id="36" w:name="OLE_LINK48"/>
      <w:r>
        <w:rPr>
          <w:rFonts w:hint="eastAsia"/>
          <w:color w:val="auto"/>
          <w:highlight w:val="none"/>
          <w:lang w:eastAsia="zh-CN"/>
        </w:rPr>
        <w:t>招标</w:t>
      </w:r>
      <w:r>
        <w:rPr>
          <w:rFonts w:hint="eastAsia" w:eastAsia="宋体"/>
          <w:color w:val="auto"/>
          <w:highlight w:val="none"/>
          <w:lang w:eastAsia="zh-CN"/>
        </w:rPr>
        <w:t>公告</w:t>
      </w:r>
      <w:bookmarkEnd w:id="36"/>
      <w:r>
        <w:rPr>
          <w:rFonts w:hint="eastAsia" w:eastAsia="宋体"/>
          <w:color w:val="auto"/>
          <w:highlight w:val="none"/>
          <w:lang w:eastAsia="zh-CN"/>
        </w:rPr>
        <w:t>在《河南省政府采购网》、</w:t>
      </w:r>
      <w:r>
        <w:rPr>
          <w:rFonts w:hint="eastAsia"/>
          <w:color w:val="auto"/>
          <w:highlight w:val="none"/>
          <w:lang w:eastAsia="zh-CN"/>
        </w:rPr>
        <w:t>《中国政府采购网》</w:t>
      </w:r>
      <w:r>
        <w:rPr>
          <w:rFonts w:hint="eastAsia" w:eastAsia="宋体"/>
          <w:color w:val="auto"/>
          <w:highlight w:val="none"/>
          <w:lang w:eastAsia="zh-CN"/>
        </w:rPr>
        <w:t>、《河南省公共资源交易中心》上发布，</w:t>
      </w:r>
      <w:r>
        <w:rPr>
          <w:rFonts w:hint="eastAsia"/>
          <w:color w:val="auto"/>
          <w:highlight w:val="none"/>
          <w:lang w:eastAsia="zh-CN"/>
        </w:rPr>
        <w:t>招标</w:t>
      </w:r>
      <w:r>
        <w:rPr>
          <w:rFonts w:hint="eastAsia" w:eastAsia="宋体"/>
          <w:color w:val="auto"/>
          <w:highlight w:val="none"/>
          <w:lang w:eastAsia="zh-CN"/>
        </w:rPr>
        <w:t>公告期限为</w:t>
      </w:r>
      <w:r>
        <w:rPr>
          <w:rFonts w:hint="eastAsia"/>
          <w:color w:val="auto"/>
          <w:highlight w:val="none"/>
          <w:lang w:eastAsia="zh-CN"/>
        </w:rPr>
        <w:t>三</w:t>
      </w:r>
      <w:r>
        <w:rPr>
          <w:rFonts w:hint="eastAsia" w:eastAsia="宋体"/>
          <w:color w:val="auto"/>
          <w:highlight w:val="none"/>
          <w:lang w:eastAsia="zh-CN"/>
        </w:rPr>
        <w:t>个工作日。</w:t>
      </w:r>
    </w:p>
    <w:p w14:paraId="18CF1E0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highlight w:val="none"/>
          <w:lang w:eastAsia="zh-CN"/>
        </w:rPr>
      </w:pPr>
      <w:bookmarkStart w:id="37" w:name="_Toc25938"/>
      <w:r>
        <w:rPr>
          <w:rFonts w:hint="eastAsia" w:eastAsia="宋体"/>
          <w:b/>
          <w:bCs/>
          <w:color w:val="auto"/>
          <w:highlight w:val="none"/>
          <w:lang w:eastAsia="zh-CN"/>
        </w:rPr>
        <w:t>七、其他补充事宜</w:t>
      </w:r>
      <w:bookmarkEnd w:id="34"/>
      <w:bookmarkEnd w:id="35"/>
      <w:bookmarkEnd w:id="37"/>
    </w:p>
    <w:p w14:paraId="19C0001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val="en-US" w:eastAsia="zh-CN"/>
        </w:rPr>
      </w:pPr>
      <w:bookmarkStart w:id="38" w:name="_Toc15387"/>
      <w:bookmarkStart w:id="39" w:name="_Toc213079458"/>
      <w:r>
        <w:rPr>
          <w:rFonts w:hint="eastAsia" w:eastAsia="宋体"/>
          <w:color w:val="auto"/>
          <w:highlight w:val="none"/>
          <w:lang w:val="en-US" w:eastAsia="zh-CN"/>
        </w:rPr>
        <w:t>无。</w:t>
      </w:r>
    </w:p>
    <w:p w14:paraId="7A68B77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bCs/>
          <w:color w:val="auto"/>
          <w:highlight w:val="none"/>
          <w:lang w:eastAsia="zh-CN"/>
        </w:rPr>
      </w:pPr>
      <w:bookmarkStart w:id="40" w:name="_Toc16436"/>
      <w:r>
        <w:rPr>
          <w:rFonts w:hint="eastAsia" w:eastAsia="宋体"/>
          <w:b/>
          <w:bCs/>
          <w:color w:val="auto"/>
          <w:highlight w:val="none"/>
          <w:lang w:eastAsia="zh-CN"/>
        </w:rPr>
        <w:t>八、凡对本次</w:t>
      </w:r>
      <w:r>
        <w:rPr>
          <w:rFonts w:hint="eastAsia"/>
          <w:b/>
          <w:bCs/>
          <w:color w:val="auto"/>
          <w:highlight w:val="none"/>
          <w:lang w:eastAsia="zh-CN"/>
        </w:rPr>
        <w:t>招标</w:t>
      </w:r>
      <w:r>
        <w:rPr>
          <w:rFonts w:hint="eastAsia" w:eastAsia="宋体"/>
          <w:b/>
          <w:bCs/>
          <w:color w:val="auto"/>
          <w:highlight w:val="none"/>
          <w:lang w:eastAsia="zh-CN"/>
        </w:rPr>
        <w:t>提出询问，请按</w:t>
      </w:r>
      <w:r>
        <w:rPr>
          <w:rFonts w:hint="eastAsia"/>
          <w:b/>
          <w:bCs/>
          <w:color w:val="auto"/>
          <w:highlight w:val="none"/>
          <w:lang w:eastAsia="zh-CN"/>
        </w:rPr>
        <w:t>照</w:t>
      </w:r>
      <w:r>
        <w:rPr>
          <w:rFonts w:hint="eastAsia" w:eastAsia="宋体"/>
          <w:b/>
          <w:bCs/>
          <w:color w:val="auto"/>
          <w:highlight w:val="none"/>
          <w:lang w:eastAsia="zh-CN"/>
        </w:rPr>
        <w:t>以下方式联系。</w:t>
      </w:r>
      <w:bookmarkEnd w:id="38"/>
      <w:bookmarkEnd w:id="39"/>
      <w:bookmarkEnd w:id="40"/>
    </w:p>
    <w:p w14:paraId="7A44A96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highlight w:val="none"/>
          <w:lang w:eastAsia="zh-CN"/>
        </w:rPr>
      </w:pPr>
      <w:r>
        <w:rPr>
          <w:rFonts w:hint="eastAsia" w:eastAsia="宋体"/>
          <w:color w:val="auto"/>
          <w:highlight w:val="none"/>
          <w:lang w:val="en-US" w:eastAsia="zh-CN"/>
        </w:rPr>
        <w:t>1.</w:t>
      </w:r>
      <w:r>
        <w:rPr>
          <w:rFonts w:hint="eastAsia"/>
          <w:color w:val="auto"/>
          <w:highlight w:val="none"/>
          <w:lang w:eastAsia="zh-CN"/>
        </w:rPr>
        <w:t>采购人信息</w:t>
      </w:r>
    </w:p>
    <w:p w14:paraId="4CC3935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color w:val="auto"/>
          <w:highlight w:val="none"/>
          <w:lang w:eastAsia="zh-CN"/>
        </w:rPr>
        <w:t>名</w:t>
      </w:r>
      <w:r>
        <w:rPr>
          <w:rFonts w:hint="eastAsia"/>
          <w:color w:val="auto"/>
          <w:highlight w:val="none"/>
          <w:lang w:val="en-US" w:eastAsia="zh-CN"/>
        </w:rPr>
        <w:t xml:space="preserve">  </w:t>
      </w:r>
      <w:r>
        <w:rPr>
          <w:rFonts w:hint="eastAsia"/>
          <w:color w:val="auto"/>
          <w:highlight w:val="none"/>
          <w:lang w:eastAsia="zh-CN"/>
        </w:rPr>
        <w:t>称</w:t>
      </w:r>
      <w:r>
        <w:rPr>
          <w:rFonts w:hint="eastAsia" w:eastAsia="宋体"/>
          <w:color w:val="auto"/>
          <w:highlight w:val="none"/>
          <w:lang w:eastAsia="zh-CN"/>
        </w:rPr>
        <w:t>：墨子实验室</w:t>
      </w:r>
    </w:p>
    <w:p w14:paraId="0E68474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地  址：河南省郑州市金水区崇实里228号</w:t>
      </w:r>
    </w:p>
    <w:p w14:paraId="5399E1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rPr>
      </w:pPr>
      <w:r>
        <w:rPr>
          <w:rFonts w:hint="eastAsia" w:eastAsia="宋体"/>
          <w:color w:val="auto"/>
          <w:highlight w:val="none"/>
          <w:lang w:eastAsia="zh-CN"/>
        </w:rPr>
        <w:t>联系人：</w:t>
      </w:r>
      <w:r>
        <w:rPr>
          <w:rFonts w:hint="eastAsia" w:eastAsia="宋体"/>
          <w:color w:val="auto"/>
          <w:highlight w:val="none"/>
          <w:lang w:eastAsia="zh"/>
        </w:rPr>
        <w:t>翟尚华</w:t>
      </w:r>
    </w:p>
    <w:p w14:paraId="779C888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color w:val="auto"/>
          <w:highlight w:val="none"/>
          <w:lang w:eastAsia="zh-CN"/>
        </w:rPr>
        <w:t>联系方式</w:t>
      </w:r>
      <w:r>
        <w:rPr>
          <w:rFonts w:hint="eastAsia" w:eastAsia="宋体"/>
          <w:color w:val="auto"/>
          <w:highlight w:val="none"/>
          <w:lang w:eastAsia="zh-CN"/>
        </w:rPr>
        <w:t>：</w:t>
      </w:r>
      <w:r>
        <w:rPr>
          <w:rFonts w:hint="eastAsia" w:eastAsia="宋体"/>
          <w:color w:val="auto"/>
          <w:highlight w:val="none"/>
          <w:lang w:eastAsia="zh"/>
        </w:rPr>
        <w:t>0371-66925370</w:t>
      </w:r>
    </w:p>
    <w:p w14:paraId="6E0B6DA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color w:val="auto"/>
          <w:highlight w:val="none"/>
          <w:lang w:eastAsia="zh-CN"/>
        </w:rPr>
      </w:pPr>
      <w:r>
        <w:rPr>
          <w:rFonts w:hint="eastAsia"/>
          <w:color w:val="auto"/>
          <w:highlight w:val="none"/>
          <w:lang w:eastAsia="zh-CN"/>
        </w:rPr>
        <w:t>采购代理机构信息（如有）</w:t>
      </w:r>
    </w:p>
    <w:p w14:paraId="2EC8F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宋体"/>
          <w:color w:val="auto"/>
          <w:highlight w:val="none"/>
          <w:lang w:eastAsia="zh-CN"/>
        </w:rPr>
      </w:pPr>
      <w:r>
        <w:rPr>
          <w:rFonts w:hint="eastAsia"/>
          <w:color w:val="auto"/>
          <w:highlight w:val="none"/>
          <w:lang w:eastAsia="zh-CN"/>
        </w:rPr>
        <w:t>名</w:t>
      </w:r>
      <w:r>
        <w:rPr>
          <w:rFonts w:hint="eastAsia"/>
          <w:color w:val="auto"/>
          <w:highlight w:val="none"/>
          <w:lang w:val="en-US" w:eastAsia="zh-CN"/>
        </w:rPr>
        <w:t xml:space="preserve">  </w:t>
      </w:r>
      <w:r>
        <w:rPr>
          <w:rFonts w:hint="eastAsia"/>
          <w:color w:val="auto"/>
          <w:highlight w:val="none"/>
          <w:lang w:eastAsia="zh-CN"/>
        </w:rPr>
        <w:t>称</w:t>
      </w:r>
      <w:r>
        <w:rPr>
          <w:rFonts w:hint="eastAsia" w:eastAsia="宋体"/>
          <w:color w:val="auto"/>
          <w:highlight w:val="none"/>
          <w:lang w:eastAsia="zh-CN"/>
        </w:rPr>
        <w:t>：河南海纳建设管理有限公司</w:t>
      </w:r>
    </w:p>
    <w:p w14:paraId="206756E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地  址：郑州市郑东新区建业五栋大楼E座1002室</w:t>
      </w:r>
    </w:p>
    <w:p w14:paraId="6574CD6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联系人：奂金梅、李萍、刘亚静</w:t>
      </w:r>
    </w:p>
    <w:p w14:paraId="510B654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color w:val="auto"/>
          <w:highlight w:val="none"/>
          <w:lang w:eastAsia="zh-CN"/>
        </w:rPr>
        <w:t>联系方式</w:t>
      </w:r>
      <w:r>
        <w:rPr>
          <w:rFonts w:hint="eastAsia" w:eastAsia="宋体"/>
          <w:color w:val="auto"/>
          <w:highlight w:val="none"/>
          <w:lang w:eastAsia="zh-CN"/>
        </w:rPr>
        <w:t>：0371-58508970</w:t>
      </w:r>
    </w:p>
    <w:p w14:paraId="68C44D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3.项目联系方式</w:t>
      </w:r>
    </w:p>
    <w:p w14:paraId="335C03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woUserID w:val="6"/>
        </w:rPr>
      </w:pPr>
      <w:r>
        <w:rPr>
          <w:rFonts w:hint="eastAsia" w:eastAsia="宋体"/>
          <w:color w:val="auto"/>
          <w:highlight w:val="none"/>
          <w:lang w:eastAsia="zh-CN"/>
        </w:rPr>
        <w:t>项目联系人：</w:t>
      </w:r>
      <w:r>
        <w:rPr>
          <w:rFonts w:hint="eastAsia"/>
          <w:color w:val="auto"/>
          <w:highlight w:val="none"/>
          <w:lang w:eastAsia="zh"/>
          <w:woUserID w:val="6"/>
        </w:rPr>
        <w:t>程洁</w:t>
      </w:r>
    </w:p>
    <w:p w14:paraId="116A0B1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联系方式：</w:t>
      </w:r>
      <w:r>
        <w:rPr>
          <w:rFonts w:hint="eastAsia" w:eastAsia="宋体"/>
          <w:color w:val="auto"/>
          <w:highlight w:val="none"/>
          <w:lang w:eastAsia="zh"/>
        </w:rPr>
        <w:t>0371-66925370</w:t>
      </w:r>
    </w:p>
    <w:p w14:paraId="5955DEA9">
      <w:pPr>
        <w:pStyle w:val="2"/>
        <w:numPr>
          <w:ilvl w:val="0"/>
          <w:numId w:val="0"/>
        </w:numPr>
        <w:jc w:val="center"/>
        <w:rPr>
          <w:color w:val="auto"/>
          <w:sz w:val="40"/>
          <w:szCs w:val="52"/>
          <w:highlight w:val="none"/>
        </w:rPr>
      </w:pPr>
      <w:bookmarkStart w:id="41" w:name="_Toc17958"/>
      <w:r>
        <w:rPr>
          <w:rFonts w:hint="eastAsia"/>
          <w:color w:val="auto"/>
          <w:sz w:val="40"/>
          <w:szCs w:val="52"/>
          <w:highlight w:val="none"/>
        </w:rPr>
        <w:t xml:space="preserve">第二章 </w:t>
      </w:r>
      <w:r>
        <w:rPr>
          <w:rFonts w:hint="eastAsia"/>
          <w:color w:val="auto"/>
          <w:sz w:val="40"/>
          <w:szCs w:val="52"/>
          <w:highlight w:val="none"/>
          <w:lang w:eastAsia="zh-CN"/>
        </w:rPr>
        <w:t>供应商</w:t>
      </w:r>
      <w:r>
        <w:rPr>
          <w:rFonts w:hint="eastAsia"/>
          <w:color w:val="auto"/>
          <w:sz w:val="40"/>
          <w:szCs w:val="52"/>
          <w:highlight w:val="none"/>
        </w:rPr>
        <w:t>须知</w:t>
      </w:r>
      <w:bookmarkEnd w:id="10"/>
      <w:bookmarkEnd w:id="11"/>
      <w:bookmarkEnd w:id="12"/>
      <w:bookmarkEnd w:id="13"/>
      <w:bookmarkEnd w:id="14"/>
      <w:bookmarkEnd w:id="41"/>
    </w:p>
    <w:p w14:paraId="7818116C">
      <w:pPr>
        <w:pStyle w:val="3"/>
        <w:rPr>
          <w:color w:val="auto"/>
          <w:sz w:val="32"/>
          <w:szCs w:val="36"/>
          <w:highlight w:val="none"/>
        </w:rPr>
      </w:pPr>
      <w:bookmarkStart w:id="42" w:name="_Toc4842"/>
      <w:bookmarkStart w:id="43" w:name="_Toc152042304"/>
      <w:bookmarkStart w:id="44" w:name="_Toc27072"/>
      <w:bookmarkStart w:id="45" w:name="_Toc6952"/>
      <w:bookmarkStart w:id="46" w:name="_Toc466298090"/>
      <w:bookmarkStart w:id="47" w:name="_Toc144974496"/>
      <w:bookmarkStart w:id="48" w:name="_Toc152045528"/>
      <w:bookmarkStart w:id="49" w:name="_Toc455080107"/>
      <w:bookmarkStart w:id="50" w:name="_Toc4840"/>
      <w:r>
        <w:rPr>
          <w:rFonts w:hint="eastAsia"/>
          <w:color w:val="auto"/>
          <w:sz w:val="32"/>
          <w:szCs w:val="36"/>
          <w:highlight w:val="none"/>
          <w:lang w:eastAsia="zh-CN"/>
        </w:rPr>
        <w:t>供应商</w:t>
      </w:r>
      <w:r>
        <w:rPr>
          <w:rFonts w:hint="eastAsia"/>
          <w:color w:val="auto"/>
          <w:sz w:val="32"/>
          <w:szCs w:val="36"/>
          <w:highlight w:val="none"/>
        </w:rPr>
        <w:t>须知前附表</w:t>
      </w:r>
      <w:bookmarkEnd w:id="42"/>
      <w:bookmarkEnd w:id="43"/>
      <w:bookmarkEnd w:id="44"/>
      <w:bookmarkEnd w:id="45"/>
      <w:bookmarkEnd w:id="46"/>
      <w:bookmarkEnd w:id="47"/>
      <w:bookmarkEnd w:id="48"/>
      <w:bookmarkEnd w:id="49"/>
      <w:bookmarkEnd w:id="50"/>
    </w:p>
    <w:tbl>
      <w:tblPr>
        <w:tblStyle w:val="27"/>
        <w:tblW w:w="8870" w:type="dxa"/>
        <w:tblInd w:w="108" w:type="dxa"/>
        <w:tblLayout w:type="fixed"/>
        <w:tblCellMar>
          <w:top w:w="0" w:type="dxa"/>
          <w:left w:w="108" w:type="dxa"/>
          <w:bottom w:w="0" w:type="dxa"/>
          <w:right w:w="108" w:type="dxa"/>
        </w:tblCellMar>
      </w:tblPr>
      <w:tblGrid>
        <w:gridCol w:w="1100"/>
        <w:gridCol w:w="1724"/>
        <w:gridCol w:w="6046"/>
      </w:tblGrid>
      <w:tr w14:paraId="34133E89">
        <w:tblPrEx>
          <w:tblCellMar>
            <w:top w:w="0" w:type="dxa"/>
            <w:left w:w="108" w:type="dxa"/>
            <w:bottom w:w="0" w:type="dxa"/>
            <w:right w:w="108" w:type="dxa"/>
          </w:tblCellMar>
        </w:tblPrEx>
        <w:trPr>
          <w:trHeight w:val="397" w:hRule="atLeast"/>
        </w:trPr>
        <w:tc>
          <w:tcPr>
            <w:tcW w:w="1100" w:type="dxa"/>
            <w:tcBorders>
              <w:top w:val="single" w:color="auto" w:sz="4" w:space="0"/>
              <w:left w:val="single" w:color="auto" w:sz="4" w:space="0"/>
              <w:bottom w:val="single" w:color="auto" w:sz="4" w:space="0"/>
              <w:right w:val="single" w:color="auto" w:sz="4" w:space="0"/>
            </w:tcBorders>
            <w:vAlign w:val="center"/>
          </w:tcPr>
          <w:p w14:paraId="1955C74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724" w:type="dxa"/>
            <w:tcBorders>
              <w:top w:val="single" w:color="auto" w:sz="4" w:space="0"/>
              <w:left w:val="single" w:color="auto" w:sz="4" w:space="0"/>
              <w:bottom w:val="single" w:color="auto" w:sz="4" w:space="0"/>
              <w:right w:val="single" w:color="auto" w:sz="4" w:space="0"/>
            </w:tcBorders>
            <w:vAlign w:val="center"/>
          </w:tcPr>
          <w:p w14:paraId="465F4A7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046" w:type="dxa"/>
            <w:tcBorders>
              <w:top w:val="single" w:color="auto" w:sz="4" w:space="0"/>
              <w:left w:val="single" w:color="auto" w:sz="4" w:space="0"/>
              <w:bottom w:val="single" w:color="auto" w:sz="4" w:space="0"/>
              <w:right w:val="single" w:color="auto" w:sz="4" w:space="0"/>
            </w:tcBorders>
            <w:vAlign w:val="center"/>
          </w:tcPr>
          <w:p w14:paraId="781290C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  列  内  容</w:t>
            </w:r>
          </w:p>
        </w:tc>
      </w:tr>
      <w:tr w14:paraId="41306F6B">
        <w:tblPrEx>
          <w:tblCellMar>
            <w:top w:w="0" w:type="dxa"/>
            <w:left w:w="108" w:type="dxa"/>
            <w:bottom w:w="0" w:type="dxa"/>
            <w:right w:w="108" w:type="dxa"/>
          </w:tblCellMar>
        </w:tblPrEx>
        <w:tc>
          <w:tcPr>
            <w:tcW w:w="1100" w:type="dxa"/>
            <w:tcBorders>
              <w:top w:val="single" w:color="auto" w:sz="4" w:space="0"/>
              <w:left w:val="single" w:color="auto" w:sz="4" w:space="0"/>
              <w:bottom w:val="single" w:color="auto" w:sz="4" w:space="0"/>
              <w:right w:val="single" w:color="auto" w:sz="4" w:space="0"/>
            </w:tcBorders>
            <w:vAlign w:val="center"/>
          </w:tcPr>
          <w:p w14:paraId="64C1ABD5">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724" w:type="dxa"/>
            <w:tcBorders>
              <w:top w:val="single" w:color="auto" w:sz="4" w:space="0"/>
              <w:left w:val="single" w:color="auto" w:sz="4" w:space="0"/>
              <w:bottom w:val="single" w:color="auto" w:sz="4" w:space="0"/>
              <w:right w:val="single" w:color="auto" w:sz="4" w:space="0"/>
            </w:tcBorders>
            <w:vAlign w:val="center"/>
          </w:tcPr>
          <w:p w14:paraId="11A09D7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046" w:type="dxa"/>
            <w:tcBorders>
              <w:top w:val="single" w:color="auto" w:sz="4" w:space="0"/>
              <w:left w:val="single" w:color="auto" w:sz="4" w:space="0"/>
              <w:bottom w:val="single" w:color="auto" w:sz="4" w:space="0"/>
              <w:right w:val="single" w:color="auto" w:sz="4" w:space="0"/>
            </w:tcBorders>
            <w:vAlign w:val="center"/>
          </w:tcPr>
          <w:p w14:paraId="26A2AA6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：墨子实验室</w:t>
            </w:r>
          </w:p>
          <w:p w14:paraId="2EE318A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址：河南省郑州市金水区崇实里228号</w:t>
            </w:r>
          </w:p>
          <w:p w14:paraId="14F0CF5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
              </w:rPr>
              <w:t>翟尚华</w:t>
            </w:r>
          </w:p>
          <w:p w14:paraId="36218B12">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
              </w:rPr>
              <w:t>0371-66925370</w:t>
            </w:r>
          </w:p>
        </w:tc>
      </w:tr>
      <w:tr w14:paraId="0A0F769E">
        <w:tblPrEx>
          <w:tblCellMar>
            <w:top w:w="0" w:type="dxa"/>
            <w:left w:w="108" w:type="dxa"/>
            <w:bottom w:w="0" w:type="dxa"/>
            <w:right w:w="108" w:type="dxa"/>
          </w:tblCellMar>
        </w:tblPrEx>
        <w:trPr>
          <w:trHeight w:val="1768" w:hRule="atLeast"/>
        </w:trPr>
        <w:tc>
          <w:tcPr>
            <w:tcW w:w="1100" w:type="dxa"/>
            <w:tcBorders>
              <w:top w:val="single" w:color="auto" w:sz="4" w:space="0"/>
              <w:left w:val="single" w:color="auto" w:sz="4" w:space="0"/>
              <w:bottom w:val="single" w:color="auto" w:sz="4" w:space="0"/>
              <w:right w:val="single" w:color="auto" w:sz="4" w:space="0"/>
            </w:tcBorders>
            <w:vAlign w:val="center"/>
          </w:tcPr>
          <w:p w14:paraId="4A3660D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724" w:type="dxa"/>
            <w:tcBorders>
              <w:top w:val="single" w:color="auto" w:sz="4" w:space="0"/>
              <w:left w:val="single" w:color="auto" w:sz="4" w:space="0"/>
              <w:bottom w:val="single" w:color="auto" w:sz="4" w:space="0"/>
              <w:right w:val="single" w:color="auto" w:sz="4" w:space="0"/>
            </w:tcBorders>
            <w:vAlign w:val="center"/>
          </w:tcPr>
          <w:p w14:paraId="32D9838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046" w:type="dxa"/>
            <w:tcBorders>
              <w:top w:val="single" w:color="auto" w:sz="4" w:space="0"/>
              <w:left w:val="single" w:color="auto" w:sz="4" w:space="0"/>
              <w:bottom w:val="single" w:color="auto" w:sz="4" w:space="0"/>
              <w:right w:val="single" w:color="auto" w:sz="4" w:space="0"/>
            </w:tcBorders>
            <w:vAlign w:val="center"/>
          </w:tcPr>
          <w:p w14:paraId="70E1B7B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：河南海纳建设管理有限公司</w:t>
            </w:r>
          </w:p>
          <w:p w14:paraId="39C556A0">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地  址：郑州市郑东新区建业五栋大楼E座1002室</w:t>
            </w:r>
          </w:p>
          <w:p w14:paraId="511B486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联系人：奂金梅、李萍、刘亚静</w:t>
            </w:r>
          </w:p>
          <w:p w14:paraId="30FD26F2">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电  话：0371-58508970</w:t>
            </w:r>
          </w:p>
          <w:p w14:paraId="4A32780E">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邮箱：</w:t>
            </w:r>
            <w:r>
              <w:rPr>
                <w:rFonts w:hint="eastAsia"/>
                <w:color w:val="auto"/>
                <w:highlight w:val="none"/>
                <w:lang w:eastAsia="zh"/>
                <w:woUserID w:val="1"/>
              </w:rPr>
              <w:t>hngszbdl@163.com</w:t>
            </w:r>
          </w:p>
        </w:tc>
      </w:tr>
      <w:tr w14:paraId="39E0B580">
        <w:tblPrEx>
          <w:tblCellMar>
            <w:top w:w="0" w:type="dxa"/>
            <w:left w:w="108" w:type="dxa"/>
            <w:bottom w:w="0" w:type="dxa"/>
            <w:right w:w="108" w:type="dxa"/>
          </w:tblCellMar>
        </w:tblPrEx>
        <w:trPr>
          <w:trHeight w:val="597" w:hRule="atLeast"/>
        </w:trPr>
        <w:tc>
          <w:tcPr>
            <w:tcW w:w="1100" w:type="dxa"/>
            <w:tcBorders>
              <w:top w:val="single" w:color="auto" w:sz="4" w:space="0"/>
              <w:left w:val="single" w:color="auto" w:sz="4" w:space="0"/>
              <w:bottom w:val="single" w:color="auto" w:sz="4" w:space="0"/>
              <w:right w:val="single" w:color="auto" w:sz="4" w:space="0"/>
            </w:tcBorders>
            <w:vAlign w:val="center"/>
          </w:tcPr>
          <w:p w14:paraId="27FD1E7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724" w:type="dxa"/>
            <w:tcBorders>
              <w:top w:val="single" w:color="auto" w:sz="4" w:space="0"/>
              <w:left w:val="single" w:color="auto" w:sz="4" w:space="0"/>
              <w:bottom w:val="single" w:color="auto" w:sz="4" w:space="0"/>
              <w:right w:val="single" w:color="auto" w:sz="4" w:space="0"/>
            </w:tcBorders>
            <w:vAlign w:val="center"/>
          </w:tcPr>
          <w:p w14:paraId="39BD5E3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046" w:type="dxa"/>
            <w:tcBorders>
              <w:top w:val="single" w:color="auto" w:sz="4" w:space="0"/>
              <w:left w:val="single" w:color="auto" w:sz="4" w:space="0"/>
              <w:bottom w:val="single" w:color="auto" w:sz="4" w:space="0"/>
              <w:right w:val="single" w:color="auto" w:sz="4" w:space="0"/>
            </w:tcBorders>
            <w:vAlign w:val="center"/>
          </w:tcPr>
          <w:p w14:paraId="3A1B25DF">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墨子实验室中原量子谷1号楼超净实验室工艺设备（一期）厂务二次配项目</w:t>
            </w:r>
          </w:p>
        </w:tc>
      </w:tr>
      <w:tr w14:paraId="1F65837F">
        <w:tblPrEx>
          <w:tblCellMar>
            <w:top w:w="0" w:type="dxa"/>
            <w:left w:w="108" w:type="dxa"/>
            <w:bottom w:w="0" w:type="dxa"/>
            <w:right w:w="108" w:type="dxa"/>
          </w:tblCellMar>
        </w:tblPrEx>
        <w:trPr>
          <w:trHeight w:val="597" w:hRule="atLeast"/>
        </w:trPr>
        <w:tc>
          <w:tcPr>
            <w:tcW w:w="1100" w:type="dxa"/>
            <w:tcBorders>
              <w:top w:val="single" w:color="auto" w:sz="4" w:space="0"/>
              <w:left w:val="single" w:color="auto" w:sz="4" w:space="0"/>
              <w:bottom w:val="single" w:color="auto" w:sz="4" w:space="0"/>
              <w:right w:val="single" w:color="auto" w:sz="4" w:space="0"/>
            </w:tcBorders>
            <w:vAlign w:val="center"/>
          </w:tcPr>
          <w:p w14:paraId="49FE085B">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p>
        </w:tc>
        <w:tc>
          <w:tcPr>
            <w:tcW w:w="1724" w:type="dxa"/>
            <w:tcBorders>
              <w:top w:val="single" w:color="auto" w:sz="4" w:space="0"/>
              <w:left w:val="single" w:color="auto" w:sz="4" w:space="0"/>
              <w:bottom w:val="single" w:color="auto" w:sz="4" w:space="0"/>
              <w:right w:val="single" w:color="auto" w:sz="4" w:space="0"/>
            </w:tcBorders>
            <w:vAlign w:val="center"/>
          </w:tcPr>
          <w:p w14:paraId="3CDB5BAB">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046" w:type="dxa"/>
            <w:tcBorders>
              <w:top w:val="single" w:color="auto" w:sz="4" w:space="0"/>
              <w:left w:val="single" w:color="auto" w:sz="4" w:space="0"/>
              <w:bottom w:val="single" w:color="auto" w:sz="4" w:space="0"/>
              <w:right w:val="single" w:color="auto" w:sz="4" w:space="0"/>
            </w:tcBorders>
            <w:vAlign w:val="center"/>
          </w:tcPr>
          <w:p w14:paraId="74BC82EF">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财政资金，已落实</w:t>
            </w:r>
          </w:p>
        </w:tc>
      </w:tr>
      <w:tr w14:paraId="0FAE5CAF">
        <w:tblPrEx>
          <w:tblCellMar>
            <w:top w:w="0" w:type="dxa"/>
            <w:left w:w="108" w:type="dxa"/>
            <w:bottom w:w="0" w:type="dxa"/>
            <w:right w:w="108" w:type="dxa"/>
          </w:tblCellMar>
        </w:tblPrEx>
        <w:trPr>
          <w:trHeight w:val="597" w:hRule="atLeast"/>
        </w:trPr>
        <w:tc>
          <w:tcPr>
            <w:tcW w:w="1100" w:type="dxa"/>
            <w:tcBorders>
              <w:top w:val="single" w:color="auto" w:sz="4" w:space="0"/>
              <w:left w:val="single" w:color="auto" w:sz="4" w:space="0"/>
              <w:bottom w:val="single" w:color="auto" w:sz="4" w:space="0"/>
              <w:right w:val="single" w:color="auto" w:sz="4" w:space="0"/>
            </w:tcBorders>
            <w:vAlign w:val="center"/>
          </w:tcPr>
          <w:p w14:paraId="69F2C798">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24" w:type="dxa"/>
            <w:tcBorders>
              <w:top w:val="single" w:color="auto" w:sz="4" w:space="0"/>
              <w:left w:val="single" w:color="auto" w:sz="4" w:space="0"/>
              <w:bottom w:val="single" w:color="auto" w:sz="4" w:space="0"/>
              <w:right w:val="single" w:color="auto" w:sz="4" w:space="0"/>
            </w:tcBorders>
            <w:vAlign w:val="center"/>
          </w:tcPr>
          <w:p w14:paraId="55195E6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采购范围</w:t>
            </w:r>
          </w:p>
        </w:tc>
        <w:tc>
          <w:tcPr>
            <w:tcW w:w="6046" w:type="dxa"/>
            <w:tcBorders>
              <w:top w:val="single" w:color="auto" w:sz="4" w:space="0"/>
              <w:left w:val="single" w:color="auto" w:sz="4" w:space="0"/>
              <w:bottom w:val="single" w:color="auto" w:sz="4" w:space="0"/>
              <w:right w:val="single" w:color="auto" w:sz="4" w:space="0"/>
            </w:tcBorders>
            <w:vAlign w:val="center"/>
          </w:tcPr>
          <w:p w14:paraId="762B802F">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woUserID w:val="1"/>
              </w:rPr>
            </w:pPr>
            <w:r>
              <w:rPr>
                <w:rFonts w:hint="eastAsia" w:eastAsia="宋体"/>
                <w:color w:val="auto"/>
                <w:highlight w:val="none"/>
                <w:lang w:eastAsia="zh-CN"/>
                <w:woUserID w:val="1"/>
              </w:rPr>
              <w:t>墨子实验室中原量子谷1号楼超净实验室工艺设备（一期）厂务二次配项目</w:t>
            </w:r>
            <w:r>
              <w:rPr>
                <w:rFonts w:hint="eastAsia" w:eastAsia="宋体"/>
                <w:b/>
                <w:bCs/>
                <w:color w:val="auto"/>
                <w:highlight w:val="none"/>
                <w:lang w:eastAsia="zh-CN"/>
                <w:woUserID w:val="1"/>
              </w:rPr>
              <w:t>设计及施工</w:t>
            </w:r>
            <w:r>
              <w:rPr>
                <w:rFonts w:hint="eastAsia" w:eastAsia="宋体"/>
                <w:color w:val="auto"/>
                <w:highlight w:val="none"/>
                <w:lang w:eastAsia="zh-CN"/>
                <w:woUserID w:val="1"/>
              </w:rPr>
              <w:t>，包含但不限于施工图设计、施工指导及现场服务、工程验收及竣工图</w:t>
            </w:r>
            <w:r>
              <w:rPr>
                <w:rFonts w:hint="eastAsia"/>
                <w:color w:val="auto"/>
                <w:highlight w:val="none"/>
                <w:lang w:eastAsia="zh"/>
                <w:woUserID w:val="1"/>
              </w:rPr>
              <w:t>绘制</w:t>
            </w:r>
            <w:r>
              <w:rPr>
                <w:rFonts w:hint="eastAsia" w:eastAsia="宋体"/>
                <w:color w:val="auto"/>
                <w:highlight w:val="none"/>
                <w:lang w:eastAsia="zh-CN"/>
                <w:woUserID w:val="1"/>
              </w:rPr>
              <w:t>、施工图范围内的所有施工(包含但不限于工艺电力系统二次配；工艺排气系统二次配；工艺冷却水系统二次配；工艺超纯水二次配；工艺排水排液二次配；工艺气体二次配；</w:t>
            </w:r>
            <w:r>
              <w:rPr>
                <w:rFonts w:hint="eastAsia" w:eastAsia="宋体"/>
                <w:color w:val="auto"/>
                <w:highlight w:val="none"/>
                <w:lang w:eastAsia="zh"/>
                <w:woUserID w:val="1"/>
              </w:rPr>
              <w:t>安全</w:t>
            </w:r>
            <w:r>
              <w:rPr>
                <w:rFonts w:hint="eastAsia" w:eastAsia="宋体"/>
                <w:color w:val="auto"/>
                <w:highlight w:val="none"/>
                <w:lang w:eastAsia="zh-CN"/>
                <w:woUserID w:val="1"/>
              </w:rPr>
              <w:t>侦测与报警系统</w:t>
            </w:r>
            <w:r>
              <w:rPr>
                <w:rFonts w:hint="eastAsia" w:eastAsia="宋体"/>
                <w:color w:val="auto"/>
                <w:highlight w:val="none"/>
                <w:lang w:eastAsia="zh"/>
                <w:woUserID w:val="1"/>
              </w:rPr>
              <w:t>；尾气处理与真空管路、石墨盘</w:t>
            </w:r>
            <w:r>
              <w:rPr>
                <w:rFonts w:hint="eastAsia" w:eastAsia="宋体"/>
                <w:color w:val="auto"/>
                <w:highlight w:val="none"/>
                <w:lang w:eastAsia="zh-CN"/>
                <w:woUserID w:val="1"/>
              </w:rPr>
              <w:t>清洗装置</w:t>
            </w:r>
            <w:r>
              <w:rPr>
                <w:rFonts w:hint="eastAsia" w:eastAsia="宋体"/>
                <w:color w:val="auto"/>
                <w:highlight w:val="none"/>
                <w:lang w:eastAsia="zh"/>
                <w:woUserID w:val="1"/>
              </w:rPr>
              <w:t>；智能化与展示；办公设施连接、零星改造等工作</w:t>
            </w:r>
            <w:r>
              <w:rPr>
                <w:rFonts w:hint="eastAsia"/>
                <w:color w:val="auto"/>
                <w:highlight w:val="none"/>
                <w:lang w:eastAsia="zh"/>
                <w:woUserID w:val="1"/>
              </w:rPr>
              <w:t>）</w:t>
            </w:r>
            <w:r>
              <w:rPr>
                <w:rFonts w:hint="eastAsia" w:eastAsia="宋体"/>
                <w:color w:val="auto"/>
                <w:highlight w:val="none"/>
                <w:lang w:eastAsia="zh-CN"/>
                <w:woUserID w:val="1"/>
              </w:rPr>
              <w:t>，物资采购供应及设备安装调试、试运、技术服务直至验收交付使用，以及</w:t>
            </w:r>
            <w:r>
              <w:rPr>
                <w:rFonts w:hint="eastAsia"/>
                <w:color w:val="auto"/>
                <w:highlight w:val="none"/>
                <w:lang w:eastAsia="zh"/>
                <w:woUserID w:val="1"/>
              </w:rPr>
              <w:t>保修期</w:t>
            </w:r>
            <w:r>
              <w:rPr>
                <w:rFonts w:hint="eastAsia" w:eastAsia="宋体"/>
                <w:color w:val="auto"/>
                <w:highlight w:val="none"/>
                <w:lang w:eastAsia="zh-CN"/>
                <w:woUserID w:val="1"/>
              </w:rPr>
              <w:t>内的维修服务</w:t>
            </w:r>
            <w:r>
              <w:rPr>
                <w:rFonts w:hint="eastAsia" w:eastAsia="宋体"/>
                <w:color w:val="auto"/>
                <w:highlight w:val="none"/>
                <w:lang w:eastAsia="zh"/>
                <w:woUserID w:val="1"/>
              </w:rPr>
              <w:t>等。</w:t>
            </w:r>
          </w:p>
        </w:tc>
      </w:tr>
      <w:tr w14:paraId="16FE123F">
        <w:tblPrEx>
          <w:tblCellMar>
            <w:top w:w="0" w:type="dxa"/>
            <w:left w:w="108" w:type="dxa"/>
            <w:bottom w:w="0" w:type="dxa"/>
            <w:right w:w="108" w:type="dxa"/>
          </w:tblCellMar>
        </w:tblPrEx>
        <w:trPr>
          <w:trHeight w:val="597" w:hRule="atLeast"/>
        </w:trPr>
        <w:tc>
          <w:tcPr>
            <w:tcW w:w="1100" w:type="dxa"/>
            <w:tcBorders>
              <w:top w:val="single" w:color="auto" w:sz="4" w:space="0"/>
              <w:left w:val="single" w:color="auto" w:sz="4" w:space="0"/>
              <w:bottom w:val="single" w:color="auto" w:sz="4" w:space="0"/>
              <w:right w:val="single" w:color="auto" w:sz="4" w:space="0"/>
            </w:tcBorders>
            <w:vAlign w:val="center"/>
          </w:tcPr>
          <w:p w14:paraId="5FF1558B">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24" w:type="dxa"/>
            <w:tcBorders>
              <w:top w:val="single" w:color="auto" w:sz="4" w:space="0"/>
              <w:left w:val="single" w:color="auto" w:sz="4" w:space="0"/>
              <w:bottom w:val="single" w:color="auto" w:sz="4" w:space="0"/>
              <w:right w:val="single" w:color="auto" w:sz="4" w:space="0"/>
            </w:tcBorders>
            <w:vAlign w:val="center"/>
          </w:tcPr>
          <w:p w14:paraId="28C2C0BB">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6046" w:type="dxa"/>
            <w:tcBorders>
              <w:top w:val="single" w:color="auto" w:sz="4" w:space="0"/>
              <w:left w:val="single" w:color="auto" w:sz="4" w:space="0"/>
              <w:bottom w:val="single" w:color="auto" w:sz="4" w:space="0"/>
              <w:right w:val="single" w:color="auto" w:sz="4" w:space="0"/>
            </w:tcBorders>
            <w:vAlign w:val="center"/>
          </w:tcPr>
          <w:p w14:paraId="13B67F2C">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
                <w:woUserID w:val="1"/>
              </w:rPr>
              <w:t>45</w:t>
            </w:r>
            <w:r>
              <w:rPr>
                <w:rFonts w:hint="eastAsia" w:ascii="宋体" w:hAnsi="宋体" w:cs="宋体"/>
                <w:color w:val="auto"/>
                <w:szCs w:val="21"/>
                <w:highlight w:val="none"/>
              </w:rPr>
              <w:t>日历天（含设计周期）</w:t>
            </w:r>
          </w:p>
        </w:tc>
      </w:tr>
      <w:tr w14:paraId="3C866D68">
        <w:tblPrEx>
          <w:tblCellMar>
            <w:top w:w="0" w:type="dxa"/>
            <w:left w:w="108" w:type="dxa"/>
            <w:bottom w:w="0" w:type="dxa"/>
            <w:right w:w="108" w:type="dxa"/>
          </w:tblCellMar>
        </w:tblPrEx>
        <w:trPr>
          <w:trHeight w:val="90" w:hRule="atLeast"/>
        </w:trPr>
        <w:tc>
          <w:tcPr>
            <w:tcW w:w="1100" w:type="dxa"/>
            <w:tcBorders>
              <w:top w:val="single" w:color="auto" w:sz="4" w:space="0"/>
              <w:left w:val="single" w:color="auto" w:sz="4" w:space="0"/>
              <w:bottom w:val="single" w:color="auto" w:sz="4" w:space="0"/>
              <w:right w:val="single" w:color="auto" w:sz="4" w:space="0"/>
            </w:tcBorders>
            <w:vAlign w:val="center"/>
          </w:tcPr>
          <w:p w14:paraId="2C5384A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724" w:type="dxa"/>
            <w:tcBorders>
              <w:top w:val="single" w:color="auto" w:sz="4" w:space="0"/>
              <w:left w:val="single" w:color="auto" w:sz="4" w:space="0"/>
              <w:bottom w:val="single" w:color="auto" w:sz="4" w:space="0"/>
              <w:right w:val="single" w:color="auto" w:sz="4" w:space="0"/>
            </w:tcBorders>
            <w:vAlign w:val="center"/>
          </w:tcPr>
          <w:p w14:paraId="5E468148">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
                <w:woUserID w:val="3"/>
              </w:rPr>
            </w:pPr>
            <w:r>
              <w:rPr>
                <w:rFonts w:hint="eastAsia" w:ascii="宋体" w:hAnsi="宋体" w:cs="宋体"/>
                <w:color w:val="auto"/>
                <w:sz w:val="21"/>
                <w:szCs w:val="21"/>
                <w:highlight w:val="none"/>
                <w:lang w:eastAsia="zh"/>
                <w:woUserID w:val="3"/>
              </w:rPr>
              <w:t>保修期</w:t>
            </w:r>
          </w:p>
        </w:tc>
        <w:tc>
          <w:tcPr>
            <w:tcW w:w="6046" w:type="dxa"/>
            <w:tcBorders>
              <w:top w:val="single" w:color="auto" w:sz="4" w:space="0"/>
              <w:left w:val="single" w:color="auto" w:sz="4" w:space="0"/>
              <w:bottom w:val="single" w:color="auto" w:sz="4" w:space="0"/>
              <w:right w:val="single" w:color="auto" w:sz="4" w:space="0"/>
            </w:tcBorders>
            <w:vAlign w:val="center"/>
          </w:tcPr>
          <w:p w14:paraId="2C6DA116">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eastAsia="宋体"/>
                <w:color w:val="auto"/>
                <w:highlight w:val="none"/>
                <w:lang w:eastAsia="zh-CN"/>
              </w:rPr>
              <w:t>自验收合格之日起2年</w:t>
            </w:r>
          </w:p>
        </w:tc>
      </w:tr>
      <w:tr w14:paraId="2C9D079F">
        <w:tblPrEx>
          <w:tblCellMar>
            <w:top w:w="0" w:type="dxa"/>
            <w:left w:w="108" w:type="dxa"/>
            <w:bottom w:w="0" w:type="dxa"/>
            <w:right w:w="108" w:type="dxa"/>
          </w:tblCellMar>
        </w:tblPrEx>
        <w:trPr>
          <w:trHeight w:val="90" w:hRule="atLeast"/>
        </w:trPr>
        <w:tc>
          <w:tcPr>
            <w:tcW w:w="1100" w:type="dxa"/>
            <w:tcBorders>
              <w:top w:val="single" w:color="auto" w:sz="4" w:space="0"/>
              <w:left w:val="single" w:color="auto" w:sz="4" w:space="0"/>
              <w:bottom w:val="single" w:color="auto" w:sz="4" w:space="0"/>
              <w:right w:val="single" w:color="auto" w:sz="4" w:space="0"/>
            </w:tcBorders>
            <w:vAlign w:val="center"/>
          </w:tcPr>
          <w:p w14:paraId="6A1F0D0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1.4.4</w:t>
            </w:r>
          </w:p>
        </w:tc>
        <w:tc>
          <w:tcPr>
            <w:tcW w:w="1724" w:type="dxa"/>
            <w:tcBorders>
              <w:top w:val="single" w:color="auto" w:sz="4" w:space="0"/>
              <w:left w:val="single" w:color="auto" w:sz="4" w:space="0"/>
              <w:bottom w:val="single" w:color="auto" w:sz="4" w:space="0"/>
              <w:right w:val="single" w:color="auto" w:sz="4" w:space="0"/>
            </w:tcBorders>
            <w:vAlign w:val="center"/>
          </w:tcPr>
          <w:p w14:paraId="56E079A1">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rPr>
              <w:t>缺陷责任期</w:t>
            </w:r>
          </w:p>
        </w:tc>
        <w:tc>
          <w:tcPr>
            <w:tcW w:w="6046" w:type="dxa"/>
            <w:tcBorders>
              <w:top w:val="single" w:color="auto" w:sz="4" w:space="0"/>
              <w:left w:val="single" w:color="auto" w:sz="4" w:space="0"/>
              <w:bottom w:val="single" w:color="auto" w:sz="4" w:space="0"/>
              <w:right w:val="single" w:color="auto" w:sz="4" w:space="0"/>
            </w:tcBorders>
            <w:vAlign w:val="center"/>
          </w:tcPr>
          <w:p w14:paraId="679514AE">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cs="宋体"/>
                <w:color w:val="auto"/>
                <w:szCs w:val="21"/>
                <w:highlight w:val="none"/>
                <w:lang w:eastAsia="zh"/>
              </w:rPr>
            </w:pPr>
            <w:r>
              <w:rPr>
                <w:rFonts w:hint="eastAsia" w:ascii="宋体" w:hAnsi="宋体" w:cs="宋体"/>
                <w:color w:val="auto"/>
                <w:szCs w:val="21"/>
                <w:highlight w:val="none"/>
              </w:rPr>
              <w:t>2年</w:t>
            </w:r>
          </w:p>
        </w:tc>
      </w:tr>
      <w:tr w14:paraId="28333D14">
        <w:tblPrEx>
          <w:tblCellMar>
            <w:top w:w="0" w:type="dxa"/>
            <w:left w:w="108" w:type="dxa"/>
            <w:bottom w:w="0" w:type="dxa"/>
            <w:right w:w="108" w:type="dxa"/>
          </w:tblCellMar>
        </w:tblPrEx>
        <w:trPr>
          <w:trHeight w:val="597" w:hRule="atLeast"/>
        </w:trPr>
        <w:tc>
          <w:tcPr>
            <w:tcW w:w="1100" w:type="dxa"/>
            <w:tcBorders>
              <w:top w:val="single" w:color="auto" w:sz="4" w:space="0"/>
              <w:left w:val="single" w:color="auto" w:sz="4" w:space="0"/>
              <w:bottom w:val="single" w:color="auto" w:sz="4" w:space="0"/>
              <w:right w:val="single" w:color="auto" w:sz="4" w:space="0"/>
            </w:tcBorders>
            <w:vAlign w:val="center"/>
          </w:tcPr>
          <w:p w14:paraId="1C2C654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w:t>
            </w:r>
            <w:r>
              <w:rPr>
                <w:rFonts w:hint="eastAsia" w:ascii="宋体" w:hAnsi="宋体" w:cs="宋体"/>
                <w:color w:val="auto"/>
                <w:sz w:val="21"/>
                <w:szCs w:val="21"/>
                <w:highlight w:val="none"/>
                <w:lang w:val="en-US" w:eastAsia="zh-CN"/>
              </w:rPr>
              <w:t>5</w:t>
            </w:r>
          </w:p>
        </w:tc>
        <w:tc>
          <w:tcPr>
            <w:tcW w:w="1724" w:type="dxa"/>
            <w:tcBorders>
              <w:top w:val="single" w:color="auto" w:sz="4" w:space="0"/>
              <w:left w:val="single" w:color="auto" w:sz="4" w:space="0"/>
              <w:bottom w:val="single" w:color="auto" w:sz="4" w:space="0"/>
              <w:right w:val="single" w:color="auto" w:sz="4" w:space="0"/>
            </w:tcBorders>
            <w:vAlign w:val="center"/>
          </w:tcPr>
          <w:p w14:paraId="152AF5B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046" w:type="dxa"/>
            <w:tcBorders>
              <w:top w:val="single" w:color="auto" w:sz="4" w:space="0"/>
              <w:left w:val="single" w:color="auto" w:sz="4" w:space="0"/>
              <w:bottom w:val="single" w:color="auto" w:sz="4" w:space="0"/>
              <w:right w:val="single" w:color="auto" w:sz="4" w:space="0"/>
            </w:tcBorders>
            <w:vAlign w:val="center"/>
          </w:tcPr>
          <w:p w14:paraId="7E8ABF03">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设计质量要求：</w:t>
            </w:r>
            <w:r>
              <w:rPr>
                <w:rFonts w:hint="eastAsia" w:eastAsia="宋体"/>
                <w:color w:val="auto"/>
                <w:highlight w:val="none"/>
                <w:lang w:eastAsia="zh-CN"/>
                <w:woUserID w:val="1"/>
              </w:rPr>
              <w:t>各阶段设计成果文件均符合国家、省、市有关工程设计方面的规范、文件规定的内容及深度和</w:t>
            </w:r>
            <w:r>
              <w:rPr>
                <w:rFonts w:hint="eastAsia"/>
                <w:color w:val="auto"/>
                <w:highlight w:val="none"/>
                <w:lang w:eastAsia="zh-CN"/>
                <w:woUserID w:val="1"/>
              </w:rPr>
              <w:t>采购人</w:t>
            </w:r>
            <w:r>
              <w:rPr>
                <w:rFonts w:hint="eastAsia" w:eastAsia="宋体"/>
                <w:color w:val="auto"/>
                <w:highlight w:val="none"/>
                <w:lang w:eastAsia="zh-CN"/>
                <w:woUserID w:val="1"/>
              </w:rPr>
              <w:t>的具体要求</w:t>
            </w:r>
          </w:p>
          <w:p w14:paraId="0D1D3682">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lang w:eastAsia="zh"/>
                <w:woUserID w:val="1"/>
              </w:rPr>
            </w:pPr>
            <w:r>
              <w:rPr>
                <w:rFonts w:hint="eastAsia" w:ascii="宋体" w:hAnsi="宋体" w:cs="宋体"/>
                <w:color w:val="auto"/>
                <w:szCs w:val="21"/>
                <w:highlight w:val="none"/>
              </w:rPr>
              <w:t>施工质量要求：</w:t>
            </w:r>
            <w:r>
              <w:rPr>
                <w:rFonts w:hint="eastAsia"/>
                <w:color w:val="auto"/>
                <w:highlight w:val="none"/>
                <w:lang w:eastAsia="zh"/>
                <w:woUserID w:val="1"/>
              </w:rPr>
              <w:t>工程质量</w:t>
            </w:r>
            <w:r>
              <w:rPr>
                <w:rFonts w:hint="eastAsia" w:eastAsia="宋体"/>
                <w:color w:val="auto"/>
                <w:highlight w:val="none"/>
                <w:lang w:eastAsia="zh-CN"/>
                <w:woUserID w:val="1"/>
              </w:rPr>
              <w:t>均符合国家、省、市有关工程</w:t>
            </w:r>
            <w:r>
              <w:rPr>
                <w:rFonts w:hint="eastAsia" w:eastAsia="宋体"/>
                <w:color w:val="auto"/>
                <w:highlight w:val="none"/>
                <w:lang w:eastAsia="zh"/>
                <w:woUserID w:val="1"/>
              </w:rPr>
              <w:t>验收</w:t>
            </w:r>
            <w:r>
              <w:rPr>
                <w:rFonts w:hint="eastAsia" w:eastAsia="宋体"/>
                <w:color w:val="auto"/>
                <w:highlight w:val="none"/>
                <w:lang w:eastAsia="zh-CN"/>
                <w:woUserID w:val="1"/>
              </w:rPr>
              <w:t>方面的规范</w:t>
            </w:r>
            <w:r>
              <w:rPr>
                <w:rFonts w:hint="eastAsia" w:eastAsia="宋体"/>
                <w:color w:val="auto"/>
                <w:highlight w:val="none"/>
                <w:lang w:eastAsia="zh"/>
                <w:woUserID w:val="1"/>
              </w:rPr>
              <w:t>及</w:t>
            </w:r>
            <w:r>
              <w:rPr>
                <w:rFonts w:hint="eastAsia"/>
                <w:color w:val="auto"/>
                <w:highlight w:val="none"/>
                <w:lang w:eastAsia="zh-CN"/>
                <w:woUserID w:val="1"/>
              </w:rPr>
              <w:t>采购人</w:t>
            </w:r>
            <w:r>
              <w:rPr>
                <w:rFonts w:hint="eastAsia" w:eastAsia="宋体"/>
                <w:color w:val="auto"/>
                <w:highlight w:val="none"/>
                <w:lang w:eastAsia="zh-CN"/>
                <w:woUserID w:val="1"/>
              </w:rPr>
              <w:t>的具体要求</w:t>
            </w:r>
            <w:r>
              <w:rPr>
                <w:rFonts w:hint="eastAsia" w:eastAsia="宋体"/>
                <w:color w:val="auto"/>
                <w:highlight w:val="none"/>
                <w:lang w:eastAsia="zh"/>
                <w:woUserID w:val="1"/>
              </w:rPr>
              <w:t>。</w:t>
            </w:r>
          </w:p>
        </w:tc>
      </w:tr>
      <w:tr w14:paraId="43570E20">
        <w:tblPrEx>
          <w:tblCellMar>
            <w:top w:w="0" w:type="dxa"/>
            <w:left w:w="108" w:type="dxa"/>
            <w:bottom w:w="0" w:type="dxa"/>
            <w:right w:w="108" w:type="dxa"/>
          </w:tblCellMar>
        </w:tblPrEx>
        <w:tc>
          <w:tcPr>
            <w:tcW w:w="1100" w:type="dxa"/>
            <w:tcBorders>
              <w:top w:val="single" w:color="auto" w:sz="4" w:space="0"/>
              <w:left w:val="single" w:color="auto" w:sz="4" w:space="0"/>
              <w:bottom w:val="single" w:color="auto" w:sz="4" w:space="0"/>
              <w:right w:val="single" w:color="auto" w:sz="4" w:space="0"/>
            </w:tcBorders>
            <w:vAlign w:val="center"/>
          </w:tcPr>
          <w:p w14:paraId="2DA7DE3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724" w:type="dxa"/>
            <w:tcBorders>
              <w:top w:val="single" w:color="auto" w:sz="4" w:space="0"/>
              <w:left w:val="single" w:color="auto" w:sz="4" w:space="0"/>
              <w:bottom w:val="single" w:color="auto" w:sz="4" w:space="0"/>
              <w:right w:val="single" w:color="auto" w:sz="4" w:space="0"/>
            </w:tcBorders>
            <w:vAlign w:val="center"/>
          </w:tcPr>
          <w:p w14:paraId="0EB0BF5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资质条件</w:t>
            </w:r>
          </w:p>
        </w:tc>
        <w:tc>
          <w:tcPr>
            <w:tcW w:w="6046" w:type="dxa"/>
            <w:tcBorders>
              <w:top w:val="single" w:color="auto" w:sz="4" w:space="0"/>
              <w:left w:val="single" w:color="auto" w:sz="4" w:space="0"/>
              <w:bottom w:val="single" w:color="auto" w:sz="4" w:space="0"/>
              <w:right w:val="single" w:color="auto" w:sz="4" w:space="0"/>
            </w:tcBorders>
            <w:vAlign w:val="center"/>
          </w:tcPr>
          <w:p w14:paraId="56DFADE0">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591075E">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1.1具有独立承担民事责任能力的法人或其他组织（具有有效的营业执照</w:t>
            </w:r>
            <w:r>
              <w:rPr>
                <w:rFonts w:hint="eastAsia" w:ascii="宋体" w:hAnsi="宋体" w:cs="宋体"/>
                <w:color w:val="auto"/>
                <w:sz w:val="21"/>
                <w:szCs w:val="21"/>
                <w:highlight w:val="none"/>
                <w:lang w:val="en-US" w:eastAsia="zh-CN"/>
              </w:rPr>
              <w:t>或其他</w:t>
            </w:r>
            <w:r>
              <w:rPr>
                <w:rFonts w:hint="eastAsia" w:ascii="宋体" w:hAnsi="宋体" w:cs="宋体"/>
                <w:color w:val="auto"/>
                <w:sz w:val="21"/>
                <w:szCs w:val="21"/>
                <w:highlight w:val="none"/>
                <w:lang w:val="en-US" w:eastAsia="zh"/>
                <w:woUserID w:val="1"/>
              </w:rPr>
              <w:t>组织</w:t>
            </w:r>
            <w:r>
              <w:rPr>
                <w:rFonts w:hint="eastAsia" w:ascii="宋体" w:hAnsi="宋体" w:cs="宋体"/>
                <w:color w:val="auto"/>
                <w:sz w:val="21"/>
                <w:szCs w:val="21"/>
                <w:highlight w:val="none"/>
                <w:lang w:val="en-US" w:eastAsia="zh-CN"/>
              </w:rPr>
              <w:t>证明</w:t>
            </w:r>
            <w:r>
              <w:rPr>
                <w:rFonts w:hint="eastAsia" w:ascii="宋体" w:hAnsi="宋体" w:eastAsia="宋体" w:cs="宋体"/>
                <w:color w:val="auto"/>
                <w:sz w:val="21"/>
                <w:szCs w:val="21"/>
                <w:highlight w:val="none"/>
              </w:rPr>
              <w:t>）；</w:t>
            </w:r>
          </w:p>
          <w:p w14:paraId="78A23DA3">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1.2具有良好的商业信誉和健全的财务会计制度（提供202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年度的审计报告，成立不足一年的须提供银行出具的企业资信证明）；</w:t>
            </w:r>
          </w:p>
          <w:p w14:paraId="7D2DA98F">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1.3具有履行合同所必需的设备和专业技术能力（自行承诺，格式</w:t>
            </w:r>
            <w:r>
              <w:rPr>
                <w:rFonts w:hint="eastAsia" w:ascii="宋体" w:hAnsi="宋体" w:cs="宋体"/>
                <w:color w:val="auto"/>
                <w:sz w:val="21"/>
                <w:szCs w:val="21"/>
                <w:highlight w:val="none"/>
                <w:lang w:eastAsia="zh"/>
                <w:woUserID w:val="3"/>
              </w:rPr>
              <w:t>后附</w:t>
            </w:r>
            <w:r>
              <w:rPr>
                <w:rFonts w:hint="eastAsia" w:ascii="宋体" w:hAnsi="宋体" w:eastAsia="宋体" w:cs="宋体"/>
                <w:color w:val="auto"/>
                <w:sz w:val="21"/>
                <w:szCs w:val="21"/>
                <w:highlight w:val="none"/>
              </w:rPr>
              <w:t>）；</w:t>
            </w:r>
          </w:p>
          <w:p w14:paraId="06DC8B74">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1.4有依法缴纳税收和社会保障资金的良好记录（202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年1月1日以来任意</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个月的纳税和社保证明；依法免税或不需要缴纳社保的，须出具有效的证明文件）；</w:t>
            </w:r>
          </w:p>
          <w:p w14:paraId="28C60F8D">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1.5参加本次采购活动前三年内，在经营活动中没有重大违法记录（自行承诺，格式</w:t>
            </w:r>
            <w:r>
              <w:rPr>
                <w:rFonts w:hint="eastAsia" w:ascii="宋体" w:hAnsi="宋体" w:cs="宋体"/>
                <w:color w:val="auto"/>
                <w:sz w:val="21"/>
                <w:szCs w:val="21"/>
                <w:highlight w:val="none"/>
                <w:lang w:eastAsia="zh"/>
                <w:woUserID w:val="3"/>
              </w:rPr>
              <w:t>后附</w:t>
            </w:r>
            <w:r>
              <w:rPr>
                <w:rFonts w:hint="eastAsia" w:ascii="宋体" w:hAnsi="宋体" w:eastAsia="宋体" w:cs="宋体"/>
                <w:color w:val="auto"/>
                <w:sz w:val="21"/>
                <w:szCs w:val="21"/>
                <w:highlight w:val="none"/>
              </w:rPr>
              <w:t>）；</w:t>
            </w:r>
          </w:p>
          <w:p w14:paraId="6FBCD3C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eastAsia="zh"/>
                <w:woUserID w:val="1"/>
              </w:rPr>
            </w:pPr>
            <w:r>
              <w:rPr>
                <w:rFonts w:hint="eastAsia" w:ascii="宋体" w:hAnsi="宋体" w:eastAsia="宋体" w:cs="宋体"/>
                <w:color w:val="auto"/>
                <w:kern w:val="2"/>
                <w:sz w:val="21"/>
                <w:szCs w:val="21"/>
                <w:highlight w:val="none"/>
                <w:lang w:val="en-US" w:eastAsia="zh-CN" w:bidi="ar"/>
                <w:woUserID w:val="1"/>
              </w:rPr>
              <w:t>1.6法律、行政法规规定的其他条件；</w:t>
            </w:r>
            <w:r>
              <w:rPr>
                <w:rFonts w:hint="eastAsia" w:ascii="宋体" w:hAnsi="宋体" w:eastAsia="宋体" w:cs="宋体"/>
                <w:color w:val="auto"/>
                <w:kern w:val="2"/>
                <w:sz w:val="21"/>
                <w:szCs w:val="21"/>
                <w:highlight w:val="none"/>
                <w:lang w:val="en-US" w:eastAsia="zh" w:bidi="ar"/>
                <w:woUserID w:val="1"/>
              </w:rPr>
              <w:t>（自行承诺，格式后附）</w:t>
            </w:r>
          </w:p>
          <w:p w14:paraId="7078FAC4">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、本项目的特定资格要求：</w:t>
            </w:r>
          </w:p>
          <w:p w14:paraId="6817C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val="en-US" w:eastAsia="zh-CN"/>
              </w:rPr>
            </w:pPr>
            <w:r>
              <w:rPr>
                <w:rFonts w:hint="eastAsia"/>
                <w:color w:val="auto"/>
                <w:highlight w:val="none"/>
                <w:lang w:val="en-US" w:eastAsia="zh-CN"/>
              </w:rPr>
              <w:t>2</w:t>
            </w:r>
            <w:r>
              <w:rPr>
                <w:rFonts w:hint="eastAsia" w:eastAsia="宋体"/>
                <w:color w:val="auto"/>
                <w:highlight w:val="none"/>
                <w:lang w:eastAsia="zh-CN"/>
              </w:rPr>
              <w:t>.1</w:t>
            </w:r>
            <w:r>
              <w:rPr>
                <w:rFonts w:hint="eastAsia"/>
                <w:color w:val="auto"/>
                <w:highlight w:val="none"/>
                <w:lang w:eastAsia="zh-CN"/>
              </w:rPr>
              <w:t>资质</w:t>
            </w:r>
            <w:r>
              <w:rPr>
                <w:rFonts w:hint="eastAsia" w:eastAsia="宋体"/>
                <w:color w:val="auto"/>
                <w:highlight w:val="none"/>
                <w:lang w:eastAsia="zh-CN"/>
              </w:rPr>
              <w:t>要求</w:t>
            </w:r>
          </w:p>
          <w:p w14:paraId="00B23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.1.2设计资质：</w:t>
            </w:r>
          </w:p>
          <w:p w14:paraId="25DD0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
                <w:woUserID w:val="4"/>
              </w:rPr>
            </w:pPr>
            <w:r>
              <w:rPr>
                <w:rFonts w:hint="eastAsia" w:eastAsia="宋体"/>
                <w:color w:val="auto"/>
                <w:highlight w:val="none"/>
                <w:lang w:eastAsia="zh-CN"/>
                <w:woUserID w:val="2"/>
              </w:rPr>
              <w:t>①</w:t>
            </w:r>
            <w:r>
              <w:rPr>
                <w:rFonts w:hint="eastAsia"/>
                <w:color w:val="auto"/>
                <w:highlight w:val="none"/>
                <w:lang w:eastAsia="zh-CN"/>
                <w:woUserID w:val="2"/>
              </w:rPr>
              <w:t>供应商</w:t>
            </w:r>
            <w:r>
              <w:rPr>
                <w:rFonts w:hint="eastAsia" w:eastAsia="宋体"/>
                <w:color w:val="auto"/>
                <w:highlight w:val="none"/>
                <w:lang w:eastAsia="zh-CN"/>
                <w:woUserID w:val="2"/>
              </w:rPr>
              <w:t>应</w:t>
            </w:r>
            <w:r>
              <w:rPr>
                <w:rFonts w:hint="eastAsia" w:eastAsia="宋体"/>
                <w:strike w:val="0"/>
                <w:dstrike w:val="0"/>
                <w:color w:val="auto"/>
                <w:highlight w:val="none"/>
                <w:lang w:eastAsia="zh-CN"/>
                <w:woUserID w:val="2"/>
              </w:rPr>
              <w:t>具有综合设计甲级资质或工</w:t>
            </w:r>
            <w:r>
              <w:rPr>
                <w:rFonts w:hint="eastAsia" w:eastAsia="宋体"/>
                <w:color w:val="auto"/>
                <w:highlight w:val="none"/>
                <w:lang w:eastAsia="zh-CN"/>
                <w:woUserID w:val="2"/>
              </w:rPr>
              <w:t>程设计电子通信广电行业（电子工程）乙级</w:t>
            </w:r>
            <w:r>
              <w:rPr>
                <w:rFonts w:hint="eastAsia"/>
                <w:color w:val="auto"/>
                <w:highlight w:val="none"/>
                <w:lang w:eastAsia="zh"/>
                <w:woUserID w:val="1"/>
              </w:rPr>
              <w:t>及</w:t>
            </w:r>
            <w:r>
              <w:rPr>
                <w:rFonts w:hint="eastAsia" w:eastAsia="宋体"/>
                <w:color w:val="auto"/>
                <w:highlight w:val="none"/>
                <w:lang w:eastAsia="zh-CN"/>
                <w:woUserID w:val="2"/>
              </w:rPr>
              <w:t>以上资质或市场行政主管部门特种设备设计许可证（压力管道）GC2</w:t>
            </w:r>
            <w:r>
              <w:rPr>
                <w:rFonts w:hint="eastAsia"/>
                <w:color w:val="auto"/>
                <w:highlight w:val="none"/>
                <w:lang w:eastAsia="zh"/>
                <w:woUserID w:val="3"/>
              </w:rPr>
              <w:t>及以上级别</w:t>
            </w:r>
            <w:r>
              <w:rPr>
                <w:rFonts w:hint="eastAsia" w:eastAsia="宋体"/>
                <w:color w:val="auto"/>
                <w:highlight w:val="none"/>
                <w:lang w:eastAsia="zh-CN"/>
                <w:woUserID w:val="2"/>
              </w:rPr>
              <w:t>。</w:t>
            </w:r>
            <w:r>
              <w:rPr>
                <w:rFonts w:hint="eastAsia"/>
                <w:color w:val="auto"/>
                <w:highlight w:val="none"/>
                <w:lang w:eastAsia="zh"/>
                <w:woUserID w:val="4"/>
              </w:rPr>
              <w:t xml:space="preserve"> </w:t>
            </w:r>
          </w:p>
          <w:p w14:paraId="443FE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.1.3施工资质：</w:t>
            </w:r>
          </w:p>
          <w:p w14:paraId="60F90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woUserID w:val="2"/>
              </w:rPr>
            </w:pPr>
            <w:r>
              <w:rPr>
                <w:rFonts w:hint="eastAsia" w:eastAsia="宋体"/>
                <w:color w:val="auto"/>
                <w:highlight w:val="none"/>
                <w:lang w:eastAsia="zh-CN"/>
                <w:woUserID w:val="2"/>
              </w:rPr>
              <w:t>①</w:t>
            </w:r>
            <w:r>
              <w:rPr>
                <w:rFonts w:hint="eastAsia"/>
                <w:color w:val="auto"/>
                <w:highlight w:val="none"/>
                <w:lang w:eastAsia="zh-CN"/>
                <w:woUserID w:val="2"/>
              </w:rPr>
              <w:t>供应商</w:t>
            </w:r>
            <w:r>
              <w:rPr>
                <w:rFonts w:hint="eastAsia" w:eastAsia="宋体"/>
                <w:color w:val="auto"/>
                <w:highlight w:val="none"/>
                <w:lang w:eastAsia="zh-CN"/>
                <w:woUserID w:val="2"/>
              </w:rPr>
              <w:t>应具有建设行政主管部门颁发的建筑机电安装工程专业承包二级及以上资质，且具有有效的安全生产许可证。</w:t>
            </w:r>
          </w:p>
          <w:p w14:paraId="1D7EAC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woUserID w:val="2"/>
              </w:rPr>
            </w:pPr>
            <w:r>
              <w:rPr>
                <w:rFonts w:hint="eastAsia" w:eastAsia="宋体"/>
                <w:color w:val="auto"/>
                <w:highlight w:val="none"/>
                <w:lang w:eastAsia="zh-CN"/>
                <w:woUserID w:val="2"/>
              </w:rPr>
              <w:t>②</w:t>
            </w:r>
            <w:r>
              <w:rPr>
                <w:rFonts w:hint="eastAsia"/>
                <w:color w:val="auto"/>
                <w:highlight w:val="none"/>
                <w:lang w:eastAsia="zh-CN"/>
                <w:woUserID w:val="2"/>
              </w:rPr>
              <w:t>供应商</w:t>
            </w:r>
            <w:r>
              <w:rPr>
                <w:rFonts w:hint="eastAsia" w:eastAsia="宋体"/>
                <w:color w:val="auto"/>
                <w:highlight w:val="none"/>
                <w:lang w:eastAsia="zh-CN"/>
                <w:woUserID w:val="2"/>
              </w:rPr>
              <w:t>应同时具有市场行政主管部门特种设备安装改造维修许可证（压力管道）GC</w:t>
            </w:r>
            <w:r>
              <w:rPr>
                <w:rFonts w:hint="eastAsia" w:eastAsia="宋体"/>
                <w:color w:val="auto"/>
                <w:highlight w:val="none"/>
                <w:lang w:eastAsia="zh"/>
                <w:woUserID w:val="2"/>
              </w:rPr>
              <w:t>2</w:t>
            </w:r>
            <w:r>
              <w:rPr>
                <w:rFonts w:hint="eastAsia"/>
                <w:color w:val="auto"/>
                <w:highlight w:val="none"/>
                <w:lang w:eastAsia="zh"/>
                <w:woUserID w:val="3"/>
              </w:rPr>
              <w:t>及以上</w:t>
            </w:r>
            <w:r>
              <w:rPr>
                <w:rFonts w:hint="eastAsia" w:eastAsia="宋体"/>
                <w:color w:val="auto"/>
                <w:highlight w:val="none"/>
                <w:lang w:eastAsia="zh-CN"/>
                <w:woUserID w:val="3"/>
              </w:rPr>
              <w:t>级别</w:t>
            </w:r>
            <w:r>
              <w:rPr>
                <w:rFonts w:hint="eastAsia" w:eastAsia="宋体"/>
                <w:color w:val="auto"/>
                <w:highlight w:val="none"/>
                <w:lang w:eastAsia="zh-CN"/>
                <w:woUserID w:val="2"/>
              </w:rPr>
              <w:t>。</w:t>
            </w:r>
          </w:p>
          <w:p w14:paraId="4FE9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eastAsia="宋体"/>
                <w:color w:val="auto"/>
                <w:highlight w:val="none"/>
                <w:lang w:eastAsia="zh-CN"/>
              </w:rPr>
              <w:t>备注：根据《住房城乡建设部关于进一步加强建设工程企业资质审批管理工作的通知》（建市规〔2023〕3号）和《河南省住房和城乡建设厅关于进一步规范建设工程企业资质管理的通知》豫建行规〔2024〕7号文件规定，河南省企业被全国和河南省建筑市场监管公共服务平台标注为资质异常的，不能使用标注异常资质承揽本工程，提供全国和河南省建筑市场监管公共服务平台查询截图；外省企业被全国建筑市场监管公共服务平台标注为资质异常的，不能使用标注异常资质承揽本工程，至少提供全国建筑市场监管公共服务平台查询截图。</w:t>
            </w:r>
          </w:p>
          <w:p w14:paraId="25D2C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2</w:t>
            </w:r>
            <w:r>
              <w:rPr>
                <w:rFonts w:hint="eastAsia" w:eastAsia="宋体"/>
                <w:color w:val="auto"/>
                <w:highlight w:val="none"/>
                <w:lang w:eastAsia="zh-CN"/>
              </w:rPr>
              <w:t>人员要求：</w:t>
            </w:r>
          </w:p>
          <w:p w14:paraId="09183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2</w:t>
            </w:r>
            <w:r>
              <w:rPr>
                <w:rFonts w:hint="eastAsia" w:eastAsia="宋体"/>
                <w:color w:val="auto"/>
                <w:highlight w:val="none"/>
                <w:lang w:eastAsia="zh-CN"/>
              </w:rPr>
              <w:t>.1拟派设计负责人</w:t>
            </w:r>
          </w:p>
          <w:p w14:paraId="65BB1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
              </w:rPr>
            </w:pPr>
            <w:r>
              <w:rPr>
                <w:rFonts w:hint="eastAsia" w:eastAsia="宋体"/>
                <w:color w:val="auto"/>
                <w:highlight w:val="none"/>
                <w:lang w:eastAsia="zh-CN"/>
              </w:rPr>
              <w:t>①</w:t>
            </w:r>
            <w:r>
              <w:rPr>
                <w:rFonts w:hint="eastAsia"/>
                <w:color w:val="auto"/>
                <w:highlight w:val="none"/>
                <w:lang w:eastAsia="zh-CN"/>
              </w:rPr>
              <w:t>供应商</w:t>
            </w:r>
            <w:r>
              <w:rPr>
                <w:rFonts w:hint="eastAsia" w:eastAsia="宋体"/>
                <w:color w:val="auto"/>
                <w:highlight w:val="none"/>
                <w:lang w:eastAsia="zh-CN"/>
              </w:rPr>
              <w:t>拟派设计负责人须具有相关专业副高级及以上职称</w:t>
            </w:r>
          </w:p>
          <w:p w14:paraId="0095F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eastAsia="宋体"/>
                <w:color w:val="auto"/>
                <w:highlight w:val="none"/>
                <w:lang w:eastAsia="zh-CN"/>
              </w:rPr>
              <w:t>②拟派设计负责人应为</w:t>
            </w:r>
            <w:r>
              <w:rPr>
                <w:rFonts w:hint="eastAsia"/>
                <w:color w:val="auto"/>
                <w:highlight w:val="none"/>
                <w:lang w:eastAsia="zh-CN"/>
              </w:rPr>
              <w:t>供应商</w:t>
            </w:r>
            <w:r>
              <w:rPr>
                <w:rFonts w:hint="eastAsia" w:eastAsia="宋体"/>
                <w:color w:val="auto"/>
                <w:highlight w:val="none"/>
                <w:lang w:eastAsia="zh-CN"/>
              </w:rPr>
              <w:t>在职正式员工，具有本单位（或其不具备独立法人资格的分支机构）为其缴纳的</w:t>
            </w:r>
            <w:r>
              <w:rPr>
                <w:rFonts w:hint="eastAsia"/>
                <w:color w:val="auto"/>
                <w:highlight w:val="none"/>
                <w:lang w:eastAsia="zh-CN"/>
              </w:rPr>
              <w:t>响应文件开启</w:t>
            </w:r>
            <w:r>
              <w:rPr>
                <w:rFonts w:hint="eastAsia" w:eastAsia="宋体"/>
                <w:color w:val="auto"/>
                <w:highlight w:val="none"/>
                <w:lang w:eastAsia="zh-CN"/>
              </w:rPr>
              <w:t>前半年内连续3个月</w:t>
            </w:r>
            <w:r>
              <w:rPr>
                <w:rFonts w:hint="eastAsia"/>
                <w:color w:val="auto"/>
                <w:highlight w:val="none"/>
                <w:lang w:eastAsia="zh"/>
                <w:woUserID w:val="1"/>
              </w:rPr>
              <w:t>（不含开启当月）</w:t>
            </w:r>
            <w:r>
              <w:rPr>
                <w:rFonts w:hint="eastAsia" w:eastAsia="宋体"/>
                <w:color w:val="auto"/>
                <w:highlight w:val="none"/>
                <w:lang w:eastAsia="zh-CN"/>
              </w:rPr>
              <w:t>的社保证明材料的扫描件。</w:t>
            </w:r>
          </w:p>
          <w:p w14:paraId="6A6CCB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2</w:t>
            </w:r>
            <w:r>
              <w:rPr>
                <w:rFonts w:hint="eastAsia" w:eastAsia="宋体"/>
                <w:color w:val="auto"/>
                <w:highlight w:val="none"/>
                <w:lang w:eastAsia="zh-CN"/>
              </w:rPr>
              <w:t>.2拟派项目经理</w:t>
            </w:r>
          </w:p>
          <w:p w14:paraId="64D68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eastAsia="宋体"/>
                <w:color w:val="auto"/>
                <w:highlight w:val="none"/>
                <w:lang w:eastAsia="zh-CN"/>
              </w:rPr>
              <w:t>①拟派项目经理具备机电工程专业二级</w:t>
            </w:r>
            <w:r>
              <w:rPr>
                <w:rFonts w:hint="eastAsia" w:eastAsia="宋体"/>
                <w:color w:val="auto"/>
                <w:highlight w:val="none"/>
                <w:lang w:eastAsia="zh"/>
              </w:rPr>
              <w:t>及以上</w:t>
            </w:r>
            <w:r>
              <w:rPr>
                <w:rFonts w:hint="eastAsia" w:eastAsia="宋体"/>
                <w:color w:val="auto"/>
                <w:highlight w:val="none"/>
                <w:lang w:eastAsia="zh-CN"/>
              </w:rPr>
              <w:t>注册建造师证书，具有有效的安全生产考核合格证（B证），且没有正在施工的工程项目（无在建项目须提供承诺书</w:t>
            </w:r>
            <w:r>
              <w:rPr>
                <w:rFonts w:hint="eastAsia"/>
                <w:color w:val="auto"/>
                <w:highlight w:val="none"/>
                <w:lang w:eastAsia="zh-CN"/>
              </w:rPr>
              <w:t>，格式</w:t>
            </w:r>
            <w:r>
              <w:rPr>
                <w:rFonts w:hint="eastAsia"/>
                <w:color w:val="auto"/>
                <w:highlight w:val="none"/>
                <w:lang w:eastAsia="zh"/>
                <w:woUserID w:val="3"/>
              </w:rPr>
              <w:t>后附</w:t>
            </w:r>
            <w:r>
              <w:rPr>
                <w:rFonts w:hint="eastAsia" w:eastAsia="宋体"/>
                <w:color w:val="auto"/>
                <w:highlight w:val="none"/>
                <w:lang w:eastAsia="zh-CN"/>
              </w:rPr>
              <w:t>）；</w:t>
            </w:r>
          </w:p>
          <w:p w14:paraId="6659C1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eastAsia="宋体"/>
                <w:color w:val="auto"/>
                <w:highlight w:val="none"/>
                <w:lang w:eastAsia="zh-CN"/>
              </w:rPr>
              <w:t>②拟派项目经理应为</w:t>
            </w:r>
            <w:r>
              <w:rPr>
                <w:rFonts w:hint="eastAsia"/>
                <w:color w:val="auto"/>
                <w:highlight w:val="none"/>
                <w:lang w:eastAsia="zh-CN"/>
              </w:rPr>
              <w:t>供应商</w:t>
            </w:r>
            <w:r>
              <w:rPr>
                <w:rFonts w:hint="eastAsia" w:eastAsia="宋体"/>
                <w:color w:val="auto"/>
                <w:highlight w:val="none"/>
                <w:lang w:eastAsia="zh-CN"/>
              </w:rPr>
              <w:t>在职正式员工，具有本单位（或其不具备独立法人资格的分支机构）为其缴纳的</w:t>
            </w:r>
            <w:r>
              <w:rPr>
                <w:rFonts w:hint="eastAsia"/>
                <w:color w:val="auto"/>
                <w:highlight w:val="none"/>
                <w:lang w:eastAsia="zh-CN"/>
              </w:rPr>
              <w:t>响应文件开启</w:t>
            </w:r>
            <w:r>
              <w:rPr>
                <w:rFonts w:hint="eastAsia" w:eastAsia="宋体"/>
                <w:color w:val="auto"/>
                <w:highlight w:val="none"/>
                <w:lang w:eastAsia="zh-CN"/>
              </w:rPr>
              <w:t>前半年内连续3个月</w:t>
            </w:r>
            <w:r>
              <w:rPr>
                <w:rFonts w:hint="eastAsia"/>
                <w:color w:val="auto"/>
                <w:highlight w:val="none"/>
                <w:lang w:eastAsia="zh"/>
                <w:woUserID w:val="1"/>
              </w:rPr>
              <w:t>（不含开启当月）</w:t>
            </w:r>
            <w:r>
              <w:rPr>
                <w:rFonts w:hint="eastAsia" w:eastAsia="宋体"/>
                <w:color w:val="auto"/>
                <w:highlight w:val="none"/>
                <w:lang w:eastAsia="zh-CN"/>
              </w:rPr>
              <w:t>的社保证明材料的扫描件。</w:t>
            </w:r>
          </w:p>
          <w:p w14:paraId="2B416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3</w:t>
            </w:r>
            <w:r>
              <w:rPr>
                <w:rFonts w:hint="eastAsia" w:eastAsia="宋体"/>
                <w:color w:val="auto"/>
                <w:highlight w:val="none"/>
                <w:lang w:eastAsia="zh-CN"/>
              </w:rPr>
              <w:t>供应商在“信用中国”网站（www.creditchina.gov.cn）未被列入失信被执行人、重大税收违法失信主体；在“中国政府采购网”网站（www.ccgp.gov.cn）未被列入政府采购严重违法失信行为记录名单；</w:t>
            </w:r>
            <w:r>
              <w:rPr>
                <w:rFonts w:hint="eastAsia" w:asciiTheme="minorEastAsia" w:hAnsiTheme="minorEastAsia" w:eastAsiaTheme="minorEastAsia" w:cstheme="minorEastAsia"/>
                <w:color w:val="auto"/>
                <w:sz w:val="21"/>
                <w:szCs w:val="21"/>
                <w:highlight w:val="none"/>
                <w:lang w:eastAsia="zh-CN"/>
              </w:rPr>
              <w:t>（执行</w:t>
            </w:r>
            <w:r>
              <w:rPr>
                <w:rFonts w:hint="eastAsia" w:asciiTheme="minorEastAsia" w:hAnsiTheme="minorEastAsia" w:eastAsiaTheme="minorEastAsia" w:cstheme="minorEastAsia"/>
                <w:color w:val="auto"/>
                <w:sz w:val="21"/>
                <w:szCs w:val="21"/>
                <w:highlight w:val="none"/>
                <w:lang w:val="en-US" w:eastAsia="zh-CN"/>
              </w:rPr>
              <w:t>财库〔2016〕125号相关规定，</w:t>
            </w:r>
            <w:r>
              <w:rPr>
                <w:rFonts w:hint="eastAsia" w:asciiTheme="minorEastAsia" w:hAnsiTheme="minorEastAsia" w:eastAsiaTheme="minorEastAsia" w:cstheme="minorEastAsia"/>
                <w:color w:val="auto"/>
                <w:sz w:val="21"/>
                <w:szCs w:val="21"/>
                <w:highlight w:val="none"/>
                <w:lang w:eastAsia="zh-CN"/>
              </w:rPr>
              <w:t>以代理机构查询为准）</w:t>
            </w:r>
          </w:p>
          <w:p w14:paraId="6E6BB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4</w:t>
            </w:r>
            <w:r>
              <w:rPr>
                <w:rFonts w:hint="eastAsia" w:eastAsia="宋体"/>
                <w:color w:val="auto"/>
                <w:highlight w:val="none"/>
                <w:lang w:eastAsia="zh-CN"/>
              </w:rPr>
              <w:t>供应商与采购人、采购人就本次采购的项目委托的咨询机构、采购代理机构、以及上述机构的附属机构没有行政或经济关联；</w:t>
            </w:r>
          </w:p>
          <w:p w14:paraId="4FDF8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5</w:t>
            </w:r>
            <w:r>
              <w:rPr>
                <w:rFonts w:hint="eastAsia" w:eastAsia="宋体"/>
                <w:color w:val="auto"/>
                <w:highlight w:val="none"/>
                <w:lang w:eastAsia="zh-CN"/>
              </w:rPr>
              <w:t>为采购项目提供整体设计、规范编制或者项目管理、监理、检测等服务的供应商，不得再参加该采购项目的其他采购活动；</w:t>
            </w:r>
          </w:p>
          <w:p w14:paraId="5FBFDE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6</w:t>
            </w:r>
            <w:r>
              <w:rPr>
                <w:rFonts w:hint="eastAsia" w:eastAsia="宋体"/>
                <w:color w:val="auto"/>
                <w:highlight w:val="none"/>
                <w:lang w:eastAsia="zh-CN"/>
              </w:rPr>
              <w:t>本次竞争性磋商不接受联合体参加磋商；</w:t>
            </w:r>
          </w:p>
          <w:p w14:paraId="02A5B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7</w:t>
            </w:r>
            <w:r>
              <w:rPr>
                <w:rFonts w:hint="eastAsia" w:eastAsia="宋体"/>
                <w:color w:val="auto"/>
                <w:highlight w:val="none"/>
                <w:lang w:eastAsia="zh-CN"/>
              </w:rPr>
              <w:t>单位负责人为同一人或者存在直接控股、管理关系的不同供应商，不得参加同一合同项下的政府采购活动；</w:t>
            </w:r>
          </w:p>
          <w:p w14:paraId="1E52F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8</w:t>
            </w:r>
            <w:r>
              <w:rPr>
                <w:rFonts w:hint="eastAsia" w:eastAsia="宋体"/>
                <w:color w:val="auto"/>
                <w:highlight w:val="none"/>
                <w:lang w:eastAsia="zh-CN"/>
              </w:rPr>
              <w:t>法律、行政法规规定的其他条件；</w:t>
            </w:r>
          </w:p>
          <w:p w14:paraId="5D5E2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color w:val="auto"/>
                <w:highlight w:val="none"/>
                <w:lang w:val="en-US" w:eastAsia="zh-CN"/>
              </w:rPr>
              <w:t>2</w:t>
            </w:r>
            <w:r>
              <w:rPr>
                <w:rFonts w:hint="eastAsia" w:eastAsia="宋体"/>
                <w:color w:val="auto"/>
                <w:highlight w:val="none"/>
                <w:lang w:eastAsia="zh-CN"/>
              </w:rPr>
              <w:t>.</w:t>
            </w:r>
            <w:r>
              <w:rPr>
                <w:rFonts w:hint="eastAsia"/>
                <w:color w:val="auto"/>
                <w:highlight w:val="none"/>
                <w:lang w:eastAsia="zh"/>
                <w:woUserID w:val="4"/>
              </w:rPr>
              <w:t>9</w:t>
            </w:r>
            <w:r>
              <w:rPr>
                <w:rFonts w:hint="eastAsia" w:eastAsia="宋体"/>
                <w:color w:val="auto"/>
                <w:highlight w:val="none"/>
                <w:lang w:eastAsia="zh-CN"/>
              </w:rPr>
              <w:t>提供反商业贿赂承诺书。</w:t>
            </w:r>
          </w:p>
        </w:tc>
      </w:tr>
      <w:tr w14:paraId="2502E6E3">
        <w:tblPrEx>
          <w:tblCellMar>
            <w:top w:w="0" w:type="dxa"/>
            <w:left w:w="108" w:type="dxa"/>
            <w:bottom w:w="0" w:type="dxa"/>
            <w:right w:w="108" w:type="dxa"/>
          </w:tblCellMar>
        </w:tblPrEx>
        <w:trPr>
          <w:trHeight w:val="397" w:hRule="atLeast"/>
        </w:trPr>
        <w:tc>
          <w:tcPr>
            <w:tcW w:w="1100" w:type="dxa"/>
            <w:tcBorders>
              <w:top w:val="single" w:color="auto" w:sz="4" w:space="0"/>
              <w:left w:val="single" w:color="auto" w:sz="4" w:space="0"/>
              <w:bottom w:val="single" w:color="auto" w:sz="4" w:space="0"/>
              <w:right w:val="single" w:color="auto" w:sz="4" w:space="0"/>
            </w:tcBorders>
            <w:vAlign w:val="center"/>
          </w:tcPr>
          <w:p w14:paraId="020F405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724" w:type="dxa"/>
            <w:tcBorders>
              <w:top w:val="single" w:color="auto" w:sz="4" w:space="0"/>
              <w:left w:val="single" w:color="auto" w:sz="4" w:space="0"/>
              <w:bottom w:val="single" w:color="auto" w:sz="4" w:space="0"/>
              <w:right w:val="single" w:color="auto" w:sz="4" w:space="0"/>
            </w:tcBorders>
            <w:vAlign w:val="center"/>
          </w:tcPr>
          <w:p w14:paraId="6D2D9903">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6046" w:type="dxa"/>
            <w:tcBorders>
              <w:top w:val="single" w:color="auto" w:sz="4" w:space="0"/>
              <w:left w:val="single" w:color="auto" w:sz="4" w:space="0"/>
              <w:bottom w:val="single" w:color="auto" w:sz="4" w:space="0"/>
              <w:right w:val="single" w:color="auto" w:sz="4" w:space="0"/>
            </w:tcBorders>
            <w:vAlign w:val="center"/>
          </w:tcPr>
          <w:p w14:paraId="34ABF75B">
            <w:pPr>
              <w:pStyle w:val="9"/>
              <w:keepNext w:val="0"/>
              <w:keepLines w:val="0"/>
              <w:pageBreakBefore w:val="0"/>
              <w:widowControl w:val="0"/>
              <w:suppressLineNumbers w:val="0"/>
              <w:kinsoku/>
              <w:wordWrap/>
              <w:overflowPunct/>
              <w:topLine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不接受</w:t>
            </w:r>
          </w:p>
        </w:tc>
      </w:tr>
      <w:tr w14:paraId="7594B83C">
        <w:tblPrEx>
          <w:tblCellMar>
            <w:top w:w="0" w:type="dxa"/>
            <w:left w:w="108" w:type="dxa"/>
            <w:bottom w:w="0" w:type="dxa"/>
            <w:right w:w="108" w:type="dxa"/>
          </w:tblCellMar>
        </w:tblPrEx>
        <w:trPr>
          <w:trHeight w:val="567" w:hRule="atLeast"/>
        </w:trPr>
        <w:tc>
          <w:tcPr>
            <w:tcW w:w="1100" w:type="dxa"/>
            <w:tcBorders>
              <w:top w:val="single" w:color="auto" w:sz="4" w:space="0"/>
              <w:left w:val="single" w:color="auto" w:sz="4" w:space="0"/>
              <w:bottom w:val="single" w:color="auto" w:sz="4" w:space="0"/>
              <w:right w:val="single" w:color="auto" w:sz="4" w:space="0"/>
            </w:tcBorders>
            <w:vAlign w:val="center"/>
          </w:tcPr>
          <w:p w14:paraId="5339544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724" w:type="dxa"/>
            <w:tcBorders>
              <w:top w:val="single" w:color="auto" w:sz="4" w:space="0"/>
              <w:left w:val="single" w:color="auto" w:sz="4" w:space="0"/>
              <w:bottom w:val="single" w:color="auto" w:sz="4" w:space="0"/>
              <w:right w:val="single" w:color="auto" w:sz="4" w:space="0"/>
            </w:tcBorders>
            <w:vAlign w:val="center"/>
          </w:tcPr>
          <w:p w14:paraId="48C085D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预备会</w:t>
            </w:r>
          </w:p>
        </w:tc>
        <w:tc>
          <w:tcPr>
            <w:tcW w:w="6046" w:type="dxa"/>
            <w:tcBorders>
              <w:top w:val="single" w:color="auto" w:sz="4" w:space="0"/>
              <w:left w:val="single" w:color="auto" w:sz="4" w:space="0"/>
              <w:bottom w:val="single" w:color="auto" w:sz="4" w:space="0"/>
              <w:right w:val="single" w:color="auto" w:sz="4" w:space="0"/>
            </w:tcBorders>
            <w:vAlign w:val="center"/>
          </w:tcPr>
          <w:p w14:paraId="3E8D6A63">
            <w:pPr>
              <w:pStyle w:val="9"/>
              <w:keepNext w:val="0"/>
              <w:keepLines w:val="0"/>
              <w:pageBreakBefore w:val="0"/>
              <w:widowControl w:val="0"/>
              <w:suppressLineNumbers w:val="0"/>
              <w:kinsoku/>
              <w:wordWrap/>
              <w:overflowPunct/>
              <w:topLine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不召开</w:t>
            </w:r>
          </w:p>
        </w:tc>
      </w:tr>
      <w:tr w14:paraId="48798571">
        <w:tblPrEx>
          <w:tblCellMar>
            <w:top w:w="0" w:type="dxa"/>
            <w:left w:w="108" w:type="dxa"/>
            <w:bottom w:w="0" w:type="dxa"/>
            <w:right w:w="108" w:type="dxa"/>
          </w:tblCellMar>
        </w:tblPrEx>
        <w:trPr>
          <w:trHeight w:val="567" w:hRule="atLeast"/>
        </w:trPr>
        <w:tc>
          <w:tcPr>
            <w:tcW w:w="1100" w:type="dxa"/>
            <w:tcBorders>
              <w:top w:val="single" w:color="auto" w:sz="4" w:space="0"/>
              <w:left w:val="single" w:color="auto" w:sz="4" w:space="0"/>
              <w:bottom w:val="single" w:color="auto" w:sz="4" w:space="0"/>
              <w:right w:val="single" w:color="auto" w:sz="4" w:space="0"/>
            </w:tcBorders>
            <w:vAlign w:val="center"/>
          </w:tcPr>
          <w:p w14:paraId="1849BB1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724" w:type="dxa"/>
            <w:tcBorders>
              <w:top w:val="single" w:color="auto" w:sz="4" w:space="0"/>
              <w:left w:val="single" w:color="auto" w:sz="4" w:space="0"/>
              <w:bottom w:val="single" w:color="auto" w:sz="4" w:space="0"/>
              <w:right w:val="single" w:color="auto" w:sz="4" w:space="0"/>
            </w:tcBorders>
            <w:vAlign w:val="center"/>
          </w:tcPr>
          <w:p w14:paraId="68ACDE0B">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现场说明和探勘</w:t>
            </w:r>
          </w:p>
        </w:tc>
        <w:tc>
          <w:tcPr>
            <w:tcW w:w="6046" w:type="dxa"/>
            <w:tcBorders>
              <w:top w:val="single" w:color="auto" w:sz="4" w:space="0"/>
              <w:left w:val="single" w:color="auto" w:sz="4" w:space="0"/>
              <w:bottom w:val="single" w:color="auto" w:sz="4" w:space="0"/>
              <w:right w:val="single" w:color="auto" w:sz="4" w:space="0"/>
            </w:tcBorders>
            <w:vAlign w:val="center"/>
          </w:tcPr>
          <w:p w14:paraId="5A924963">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不召开</w:t>
            </w:r>
            <w:r>
              <w:rPr>
                <w:rFonts w:hint="eastAsia" w:ascii="宋体" w:hAnsi="宋体" w:cs="宋体"/>
                <w:color w:val="auto"/>
                <w:kern w:val="2"/>
                <w:sz w:val="21"/>
                <w:szCs w:val="21"/>
                <w:highlight w:val="none"/>
                <w:lang w:eastAsia="zh"/>
                <w:woUserID w:val="1"/>
              </w:rPr>
              <w:t>，</w:t>
            </w:r>
            <w:r>
              <w:rPr>
                <w:rFonts w:hint="eastAsia" w:ascii="宋体" w:hAnsi="宋体" w:eastAsia="宋体" w:cs="宋体"/>
                <w:color w:val="auto"/>
                <w:kern w:val="2"/>
                <w:sz w:val="21"/>
                <w:szCs w:val="21"/>
                <w:highlight w:val="none"/>
              </w:rPr>
              <w:t>自行踏勘现场</w:t>
            </w:r>
          </w:p>
          <w:p w14:paraId="5B2F049A">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宋体" w:hAnsi="宋体" w:eastAsia="宋体" w:cs="宋体"/>
                <w:color w:val="auto"/>
                <w:kern w:val="2"/>
                <w:sz w:val="21"/>
                <w:szCs w:val="21"/>
                <w:highlight w:val="none"/>
                <w:lang w:val="en-US" w:eastAsia="zh" w:bidi="ar"/>
                <w:woUserID w:val="1"/>
              </w:rPr>
            </w:pPr>
            <w:r>
              <w:rPr>
                <w:rFonts w:hint="eastAsia" w:ascii="宋体" w:hAnsi="宋体" w:eastAsia="宋体" w:cs="宋体"/>
                <w:color w:val="auto"/>
                <w:kern w:val="2"/>
                <w:sz w:val="21"/>
                <w:szCs w:val="21"/>
                <w:highlight w:val="none"/>
                <w:lang w:val="en-US" w:eastAsia="zh-CN" w:bidi="ar"/>
                <w:woUserID w:val="1"/>
              </w:rPr>
              <w:t>联系人：程洁</w:t>
            </w:r>
          </w:p>
          <w:p w14:paraId="55BAB5C7">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woUserID w:val="1"/>
              </w:rPr>
              <w:t>联系</w:t>
            </w:r>
            <w:r>
              <w:rPr>
                <w:rFonts w:hint="eastAsia" w:ascii="宋体" w:hAnsi="宋体" w:eastAsia="宋体" w:cs="宋体"/>
                <w:color w:val="auto"/>
                <w:kern w:val="2"/>
                <w:sz w:val="21"/>
                <w:szCs w:val="21"/>
                <w:highlight w:val="none"/>
                <w:lang w:val="en-US" w:eastAsia="zh" w:bidi="ar"/>
                <w:woUserID w:val="1"/>
              </w:rPr>
              <w:t>电话</w:t>
            </w:r>
            <w:r>
              <w:rPr>
                <w:rFonts w:hint="eastAsia" w:ascii="宋体" w:hAnsi="宋体" w:eastAsia="宋体" w:cs="宋体"/>
                <w:color w:val="auto"/>
                <w:kern w:val="2"/>
                <w:sz w:val="21"/>
                <w:szCs w:val="21"/>
                <w:highlight w:val="none"/>
                <w:lang w:val="en-US" w:eastAsia="zh-CN" w:bidi="ar"/>
                <w:woUserID w:val="1"/>
              </w:rPr>
              <w:t>：</w:t>
            </w:r>
            <w:r>
              <w:rPr>
                <w:rFonts w:hint="default" w:ascii="Times New Roman" w:hAnsi="Times New Roman" w:eastAsia="宋体" w:cs="Times New Roman"/>
                <w:color w:val="auto"/>
                <w:kern w:val="2"/>
                <w:sz w:val="21"/>
                <w:szCs w:val="21"/>
                <w:highlight w:val="none"/>
                <w:lang w:val="en-US" w:eastAsia="zh-CN" w:bidi="ar"/>
                <w:woUserID w:val="1"/>
              </w:rPr>
              <w:t>0371-66925370</w:t>
            </w:r>
          </w:p>
        </w:tc>
      </w:tr>
      <w:tr w14:paraId="06C3DEE4">
        <w:tblPrEx>
          <w:tblCellMar>
            <w:top w:w="0" w:type="dxa"/>
            <w:left w:w="108" w:type="dxa"/>
            <w:bottom w:w="0" w:type="dxa"/>
            <w:right w:w="108" w:type="dxa"/>
          </w:tblCellMar>
        </w:tblPrEx>
        <w:tc>
          <w:tcPr>
            <w:tcW w:w="1100" w:type="dxa"/>
            <w:tcBorders>
              <w:top w:val="single" w:color="auto" w:sz="4" w:space="0"/>
              <w:left w:val="single" w:color="auto" w:sz="4" w:space="0"/>
              <w:bottom w:val="single" w:color="auto" w:sz="4" w:space="0"/>
              <w:right w:val="single" w:color="auto" w:sz="4" w:space="0"/>
            </w:tcBorders>
            <w:vAlign w:val="center"/>
          </w:tcPr>
          <w:p w14:paraId="05A6A37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1724" w:type="dxa"/>
            <w:tcBorders>
              <w:top w:val="single" w:color="auto" w:sz="4" w:space="0"/>
              <w:left w:val="single" w:color="auto" w:sz="4" w:space="0"/>
              <w:bottom w:val="single" w:color="auto" w:sz="4" w:space="0"/>
              <w:right w:val="single" w:color="auto" w:sz="4" w:space="0"/>
            </w:tcBorders>
            <w:vAlign w:val="center"/>
          </w:tcPr>
          <w:p w14:paraId="23F2651D">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提出问题</w:t>
            </w:r>
          </w:p>
          <w:p w14:paraId="6DE1CB0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的截止时间</w:t>
            </w:r>
          </w:p>
        </w:tc>
        <w:tc>
          <w:tcPr>
            <w:tcW w:w="6046" w:type="dxa"/>
            <w:tcBorders>
              <w:top w:val="single" w:color="auto" w:sz="4" w:space="0"/>
              <w:left w:val="single" w:color="auto" w:sz="4" w:space="0"/>
              <w:bottom w:val="single" w:color="auto" w:sz="4" w:space="0"/>
              <w:right w:val="single" w:color="auto" w:sz="4" w:space="0"/>
            </w:tcBorders>
            <w:vAlign w:val="center"/>
          </w:tcPr>
          <w:p w14:paraId="48D0948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递交响应文件截止之日</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天前</w:t>
            </w:r>
          </w:p>
        </w:tc>
      </w:tr>
      <w:tr w14:paraId="6CBC3B2D">
        <w:tblPrEx>
          <w:tblCellMar>
            <w:top w:w="0" w:type="dxa"/>
            <w:left w:w="108" w:type="dxa"/>
            <w:bottom w:w="0" w:type="dxa"/>
            <w:right w:w="108" w:type="dxa"/>
          </w:tblCellMar>
        </w:tblPrEx>
        <w:trPr>
          <w:trHeight w:val="567" w:hRule="atLeast"/>
        </w:trPr>
        <w:tc>
          <w:tcPr>
            <w:tcW w:w="1100" w:type="dxa"/>
            <w:tcBorders>
              <w:top w:val="single" w:color="auto" w:sz="4" w:space="0"/>
              <w:left w:val="single" w:color="auto" w:sz="4" w:space="0"/>
              <w:bottom w:val="single" w:color="auto" w:sz="4" w:space="0"/>
              <w:right w:val="single" w:color="auto" w:sz="4" w:space="0"/>
            </w:tcBorders>
            <w:vAlign w:val="center"/>
          </w:tcPr>
          <w:p w14:paraId="71B2211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1724" w:type="dxa"/>
            <w:tcBorders>
              <w:top w:val="single" w:color="auto" w:sz="4" w:space="0"/>
              <w:left w:val="single" w:color="auto" w:sz="4" w:space="0"/>
              <w:bottom w:val="single" w:color="auto" w:sz="4" w:space="0"/>
              <w:right w:val="single" w:color="auto" w:sz="4" w:space="0"/>
            </w:tcBorders>
            <w:vAlign w:val="center"/>
          </w:tcPr>
          <w:p w14:paraId="06C9A5F7">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采购人书面</w:t>
            </w:r>
          </w:p>
          <w:p w14:paraId="16A7D1F4">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澄清的时间</w:t>
            </w:r>
          </w:p>
        </w:tc>
        <w:tc>
          <w:tcPr>
            <w:tcW w:w="6046" w:type="dxa"/>
            <w:tcBorders>
              <w:top w:val="single" w:color="auto" w:sz="4" w:space="0"/>
              <w:left w:val="single" w:color="auto" w:sz="4" w:space="0"/>
              <w:bottom w:val="single" w:color="auto" w:sz="4" w:space="0"/>
              <w:right w:val="single" w:color="auto" w:sz="4" w:space="0"/>
            </w:tcBorders>
            <w:vAlign w:val="center"/>
          </w:tcPr>
          <w:p w14:paraId="7BD9029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递交响应文件截止之日</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天前</w:t>
            </w:r>
          </w:p>
        </w:tc>
      </w:tr>
      <w:tr w14:paraId="4F12EED6">
        <w:tblPrEx>
          <w:tblCellMar>
            <w:top w:w="0" w:type="dxa"/>
            <w:left w:w="108" w:type="dxa"/>
            <w:bottom w:w="0" w:type="dxa"/>
            <w:right w:w="108" w:type="dxa"/>
          </w:tblCellMar>
        </w:tblPrEx>
        <w:trPr>
          <w:trHeight w:val="564" w:hRule="atLeast"/>
        </w:trPr>
        <w:tc>
          <w:tcPr>
            <w:tcW w:w="1100" w:type="dxa"/>
            <w:tcBorders>
              <w:top w:val="single" w:color="auto" w:sz="4" w:space="0"/>
              <w:left w:val="single" w:color="auto" w:sz="4" w:space="0"/>
              <w:bottom w:val="single" w:color="auto" w:sz="4" w:space="0"/>
              <w:right w:val="single" w:color="auto" w:sz="4" w:space="0"/>
            </w:tcBorders>
            <w:vAlign w:val="center"/>
          </w:tcPr>
          <w:p w14:paraId="342F950B">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724" w:type="dxa"/>
            <w:tcBorders>
              <w:top w:val="single" w:color="auto" w:sz="4" w:space="0"/>
              <w:left w:val="single" w:color="auto" w:sz="4" w:space="0"/>
              <w:bottom w:val="single" w:color="auto" w:sz="4" w:space="0"/>
              <w:right w:val="single" w:color="auto" w:sz="4" w:space="0"/>
            </w:tcBorders>
            <w:vAlign w:val="center"/>
          </w:tcPr>
          <w:p w14:paraId="3746031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046" w:type="dxa"/>
            <w:tcBorders>
              <w:top w:val="single" w:color="auto" w:sz="4" w:space="0"/>
              <w:left w:val="single" w:color="auto" w:sz="4" w:space="0"/>
              <w:bottom w:val="single" w:color="auto" w:sz="4" w:space="0"/>
              <w:right w:val="single" w:color="auto" w:sz="4" w:space="0"/>
            </w:tcBorders>
            <w:vAlign w:val="center"/>
          </w:tcPr>
          <w:p w14:paraId="50AF2308">
            <w:pPr>
              <w:pStyle w:val="9"/>
              <w:keepNext w:val="0"/>
              <w:keepLines w:val="0"/>
              <w:pageBreakBefore w:val="0"/>
              <w:widowControl w:val="0"/>
              <w:suppressLineNumbers w:val="0"/>
              <w:kinsoku/>
              <w:wordWrap/>
              <w:overflowPunct/>
              <w:topLine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不允许</w:t>
            </w:r>
          </w:p>
        </w:tc>
      </w:tr>
      <w:tr w14:paraId="0E7D6B97">
        <w:tblPrEx>
          <w:tblCellMar>
            <w:top w:w="0" w:type="dxa"/>
            <w:left w:w="108" w:type="dxa"/>
            <w:bottom w:w="0" w:type="dxa"/>
            <w:right w:w="108" w:type="dxa"/>
          </w:tblCellMar>
        </w:tblPrEx>
        <w:trPr>
          <w:trHeight w:val="564" w:hRule="atLeast"/>
        </w:trPr>
        <w:tc>
          <w:tcPr>
            <w:tcW w:w="1100" w:type="dxa"/>
            <w:tcBorders>
              <w:top w:val="single" w:color="auto" w:sz="4" w:space="0"/>
              <w:left w:val="single" w:color="auto" w:sz="4" w:space="0"/>
              <w:bottom w:val="single" w:color="auto" w:sz="4" w:space="0"/>
              <w:right w:val="single" w:color="auto" w:sz="4" w:space="0"/>
            </w:tcBorders>
            <w:vAlign w:val="center"/>
          </w:tcPr>
          <w:p w14:paraId="4544D7D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24" w:type="dxa"/>
            <w:tcBorders>
              <w:top w:val="single" w:color="auto" w:sz="4" w:space="0"/>
              <w:left w:val="single" w:color="auto" w:sz="4" w:space="0"/>
              <w:bottom w:val="single" w:color="auto" w:sz="4" w:space="0"/>
              <w:right w:val="single" w:color="auto" w:sz="4" w:space="0"/>
            </w:tcBorders>
            <w:vAlign w:val="center"/>
          </w:tcPr>
          <w:p w14:paraId="0F0BBBDE">
            <w:pPr>
              <w:keepNext w:val="0"/>
              <w:keepLines w:val="0"/>
              <w:pageBreakBefore w:val="0"/>
              <w:widowControl w:val="0"/>
              <w:suppressLineNumbers w:val="0"/>
              <w:kinsoku/>
              <w:wordWrap/>
              <w:overflowPunct/>
              <w:bidi w:val="0"/>
              <w:spacing w:before="0" w:beforeAutospacing="0" w:after="0" w:afterAutospacing="0" w:line="360" w:lineRule="auto"/>
              <w:ind w:left="0" w:right="-107"/>
              <w:jc w:val="center"/>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偏差</w:t>
            </w:r>
          </w:p>
        </w:tc>
        <w:tc>
          <w:tcPr>
            <w:tcW w:w="6046" w:type="dxa"/>
            <w:tcBorders>
              <w:top w:val="single" w:color="auto" w:sz="4" w:space="0"/>
              <w:left w:val="single" w:color="auto" w:sz="4" w:space="0"/>
              <w:bottom w:val="single" w:color="auto" w:sz="4" w:space="0"/>
              <w:right w:val="single" w:color="auto" w:sz="4" w:space="0"/>
            </w:tcBorders>
            <w:vAlign w:val="center"/>
          </w:tcPr>
          <w:p w14:paraId="73BDFBA3">
            <w:pPr>
              <w:keepNext w:val="0"/>
              <w:keepLines w:val="0"/>
              <w:pageBreakBefore w:val="0"/>
              <w:widowControl w:val="0"/>
              <w:suppressLineNumbers w:val="0"/>
              <w:kinsoku/>
              <w:wordWrap/>
              <w:overflowPunct/>
              <w:bidi w:val="0"/>
              <w:spacing w:before="0" w:beforeAutospacing="0" w:after="0" w:afterAutospacing="0" w:line="360" w:lineRule="auto"/>
              <w:ind w:left="0" w:right="4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不允许负偏差竞争性磋商文件规定的实质性要求和条件，否则视为未对竞争性磋商文件作出实质性响应，其</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无效。</w:t>
            </w:r>
          </w:p>
          <w:p w14:paraId="66A9AEAB">
            <w:pPr>
              <w:keepNext w:val="0"/>
              <w:keepLines w:val="0"/>
              <w:pageBreakBefore w:val="0"/>
              <w:widowControl w:val="0"/>
              <w:suppressLineNumbers w:val="0"/>
              <w:kinsoku/>
              <w:wordWrap/>
              <w:overflowPunct/>
              <w:bidi w:val="0"/>
              <w:spacing w:before="0" w:beforeAutospacing="0" w:after="0" w:afterAutospacing="0" w:line="360" w:lineRule="auto"/>
              <w:ind w:left="0" w:right="4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
                <w:woUserID w:val="1"/>
              </w:rPr>
              <w:t>1</w:t>
            </w:r>
            <w:r>
              <w:rPr>
                <w:rFonts w:hint="eastAsia" w:ascii="宋体" w:hAnsi="宋体" w:eastAsia="宋体" w:cs="宋体"/>
                <w:color w:val="auto"/>
                <w:sz w:val="21"/>
                <w:szCs w:val="21"/>
                <w:highlight w:val="none"/>
              </w:rPr>
              <w:t>）响应文件载明的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项目完成期限超过竞争性磋商文件规定的期限；</w:t>
            </w:r>
          </w:p>
          <w:p w14:paraId="1CB1E5B4">
            <w:pPr>
              <w:keepNext w:val="0"/>
              <w:keepLines w:val="0"/>
              <w:pageBreakBefore w:val="0"/>
              <w:widowControl w:val="0"/>
              <w:suppressLineNumbers w:val="0"/>
              <w:kinsoku/>
              <w:wordWrap/>
              <w:overflowPunct/>
              <w:bidi w:val="0"/>
              <w:spacing w:before="0" w:beforeAutospacing="0" w:after="0" w:afterAutospacing="0" w:line="360" w:lineRule="auto"/>
              <w:ind w:left="0" w:right="4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
                <w:woUserID w:val="1"/>
              </w:rPr>
              <w:t>2</w:t>
            </w:r>
            <w:r>
              <w:rPr>
                <w:rFonts w:hint="eastAsia" w:ascii="宋体" w:hAnsi="宋体" w:eastAsia="宋体" w:cs="宋体"/>
                <w:color w:val="auto"/>
                <w:sz w:val="21"/>
                <w:szCs w:val="21"/>
                <w:highlight w:val="none"/>
              </w:rPr>
              <w:t>）响应文件附有采购人不能接受的条件；</w:t>
            </w:r>
          </w:p>
        </w:tc>
      </w:tr>
      <w:tr w14:paraId="11216B21">
        <w:tblPrEx>
          <w:tblCellMar>
            <w:top w:w="0" w:type="dxa"/>
            <w:left w:w="108" w:type="dxa"/>
            <w:bottom w:w="0" w:type="dxa"/>
            <w:right w:w="108" w:type="dxa"/>
          </w:tblCellMar>
        </w:tblPrEx>
        <w:tc>
          <w:tcPr>
            <w:tcW w:w="1100" w:type="dxa"/>
            <w:tcBorders>
              <w:top w:val="single" w:color="auto" w:sz="4" w:space="0"/>
              <w:left w:val="single" w:color="auto" w:sz="4" w:space="0"/>
              <w:bottom w:val="single" w:color="auto" w:sz="4" w:space="0"/>
              <w:right w:val="single" w:color="auto" w:sz="4" w:space="0"/>
            </w:tcBorders>
            <w:vAlign w:val="center"/>
          </w:tcPr>
          <w:p w14:paraId="2A6C4978">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24" w:type="dxa"/>
            <w:tcBorders>
              <w:top w:val="single" w:color="auto" w:sz="4" w:space="0"/>
              <w:left w:val="single" w:color="auto" w:sz="4" w:space="0"/>
              <w:bottom w:val="single" w:color="auto" w:sz="4" w:space="0"/>
              <w:right w:val="single" w:color="auto" w:sz="4" w:space="0"/>
            </w:tcBorders>
            <w:vAlign w:val="center"/>
          </w:tcPr>
          <w:p w14:paraId="5A07F2E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构成磋商文件</w:t>
            </w:r>
          </w:p>
          <w:p w14:paraId="61BAD0C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的其他材料</w:t>
            </w:r>
          </w:p>
        </w:tc>
        <w:tc>
          <w:tcPr>
            <w:tcW w:w="6046" w:type="dxa"/>
            <w:tcBorders>
              <w:top w:val="single" w:color="auto" w:sz="4" w:space="0"/>
              <w:left w:val="single" w:color="auto" w:sz="4" w:space="0"/>
              <w:bottom w:val="single" w:color="auto" w:sz="4" w:space="0"/>
              <w:right w:val="single" w:color="auto" w:sz="4" w:space="0"/>
            </w:tcBorders>
            <w:vAlign w:val="center"/>
          </w:tcPr>
          <w:p w14:paraId="222C4775">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除磋商文件外，采购人在磋商期间发出的澄清、修改等内容均是磋商文件的组成部分</w:t>
            </w:r>
          </w:p>
        </w:tc>
      </w:tr>
      <w:tr w14:paraId="3B0FF8E3">
        <w:tblPrEx>
          <w:tblCellMar>
            <w:top w:w="0" w:type="dxa"/>
            <w:left w:w="108" w:type="dxa"/>
            <w:bottom w:w="0" w:type="dxa"/>
            <w:right w:w="108" w:type="dxa"/>
          </w:tblCellMar>
        </w:tblPrEx>
        <w:trPr>
          <w:trHeight w:val="90" w:hRule="atLeast"/>
        </w:trPr>
        <w:tc>
          <w:tcPr>
            <w:tcW w:w="1100" w:type="dxa"/>
            <w:tcBorders>
              <w:top w:val="single" w:color="auto" w:sz="4" w:space="0"/>
              <w:left w:val="single" w:color="auto" w:sz="4" w:space="0"/>
              <w:bottom w:val="single" w:color="auto" w:sz="4" w:space="0"/>
              <w:right w:val="single" w:color="auto" w:sz="4" w:space="0"/>
            </w:tcBorders>
            <w:vAlign w:val="center"/>
          </w:tcPr>
          <w:p w14:paraId="439BE08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724" w:type="dxa"/>
            <w:tcBorders>
              <w:top w:val="single" w:color="auto" w:sz="4" w:space="0"/>
              <w:left w:val="single" w:color="auto" w:sz="4" w:space="0"/>
              <w:bottom w:val="single" w:color="auto" w:sz="4" w:space="0"/>
              <w:right w:val="single" w:color="auto" w:sz="4" w:space="0"/>
            </w:tcBorders>
            <w:vAlign w:val="center"/>
          </w:tcPr>
          <w:p w14:paraId="6AFA88FC">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要求澄清磋商文件的截止时间</w:t>
            </w:r>
          </w:p>
        </w:tc>
        <w:tc>
          <w:tcPr>
            <w:tcW w:w="6046" w:type="dxa"/>
            <w:tcBorders>
              <w:top w:val="single" w:color="auto" w:sz="4" w:space="0"/>
              <w:left w:val="single" w:color="auto" w:sz="4" w:space="0"/>
              <w:bottom w:val="single" w:color="auto" w:sz="4" w:space="0"/>
              <w:right w:val="single" w:color="auto" w:sz="4" w:space="0"/>
            </w:tcBorders>
            <w:vAlign w:val="center"/>
          </w:tcPr>
          <w:p w14:paraId="63AF5A5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递交响应文件截止之日</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天前</w:t>
            </w:r>
          </w:p>
        </w:tc>
      </w:tr>
      <w:tr w14:paraId="33764417">
        <w:tblPrEx>
          <w:tblCellMar>
            <w:top w:w="0" w:type="dxa"/>
            <w:left w:w="108" w:type="dxa"/>
            <w:bottom w:w="0" w:type="dxa"/>
            <w:right w:w="108" w:type="dxa"/>
          </w:tblCellMar>
        </w:tblPrEx>
        <w:trPr>
          <w:trHeight w:val="875" w:hRule="atLeast"/>
        </w:trPr>
        <w:tc>
          <w:tcPr>
            <w:tcW w:w="1100" w:type="dxa"/>
            <w:tcBorders>
              <w:top w:val="single" w:color="auto" w:sz="4" w:space="0"/>
              <w:left w:val="single" w:color="auto" w:sz="4" w:space="0"/>
              <w:bottom w:val="single" w:color="auto" w:sz="4" w:space="0"/>
              <w:right w:val="single" w:color="auto" w:sz="4" w:space="0"/>
            </w:tcBorders>
            <w:vAlign w:val="center"/>
          </w:tcPr>
          <w:p w14:paraId="005FAC4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724" w:type="dxa"/>
            <w:tcBorders>
              <w:top w:val="single" w:color="auto" w:sz="4" w:space="0"/>
              <w:left w:val="single" w:color="auto" w:sz="4" w:space="0"/>
              <w:bottom w:val="single" w:color="auto" w:sz="4" w:space="0"/>
              <w:right w:val="single" w:color="auto" w:sz="4" w:space="0"/>
            </w:tcBorders>
            <w:vAlign w:val="center"/>
          </w:tcPr>
          <w:p w14:paraId="210559D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w:t>
            </w:r>
          </w:p>
          <w:p w14:paraId="5C7EE880">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6046" w:type="dxa"/>
            <w:tcBorders>
              <w:top w:val="single" w:color="auto" w:sz="4" w:space="0"/>
              <w:left w:val="single" w:color="auto" w:sz="4" w:space="0"/>
              <w:bottom w:val="single" w:color="auto" w:sz="4" w:space="0"/>
              <w:right w:val="single" w:color="auto" w:sz="4" w:space="0"/>
            </w:tcBorders>
            <w:vAlign w:val="center"/>
          </w:tcPr>
          <w:p w14:paraId="4AD689B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cs="宋体"/>
                <w:b/>
                <w:bCs/>
                <w:color w:val="auto"/>
                <w:kern w:val="0"/>
                <w:sz w:val="21"/>
                <w:szCs w:val="21"/>
                <w:highlight w:val="none"/>
                <w:u w:val="single"/>
                <w:lang w:eastAsia="zh"/>
                <w:woUserID w:val="3"/>
              </w:rPr>
              <w:t>6</w:t>
            </w:r>
            <w:r>
              <w:rPr>
                <w:rFonts w:hint="eastAsia" w:ascii="宋体" w:hAnsi="宋体" w:eastAsia="宋体" w:cs="宋体"/>
                <w:b/>
                <w:bCs/>
                <w:color w:val="auto"/>
                <w:kern w:val="0"/>
                <w:sz w:val="21"/>
                <w:szCs w:val="21"/>
                <w:highlight w:val="none"/>
                <w:u w:val="single"/>
              </w:rPr>
              <w:t>年</w:t>
            </w:r>
            <w:r>
              <w:rPr>
                <w:rFonts w:hint="eastAsia" w:ascii="宋体" w:hAnsi="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月</w:t>
            </w:r>
            <w:r>
              <w:rPr>
                <w:rFonts w:hint="eastAsia" w:ascii="宋体" w:hAnsi="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u w:val="single"/>
              </w:rPr>
              <w:t>日</w:t>
            </w:r>
            <w:r>
              <w:rPr>
                <w:rFonts w:hint="eastAsia" w:ascii="宋体" w:hAnsi="宋体" w:cs="宋体"/>
                <w:b/>
                <w:bCs/>
                <w:color w:val="auto"/>
                <w:kern w:val="0"/>
                <w:sz w:val="21"/>
                <w:szCs w:val="21"/>
                <w:highlight w:val="none"/>
                <w:u w:val="single"/>
                <w:lang w:val="en-US" w:eastAsia="zh-CN"/>
              </w:rPr>
              <w:t>9</w:t>
            </w:r>
            <w:r>
              <w:rPr>
                <w:rFonts w:hint="eastAsia" w:ascii="宋体" w:hAnsi="宋体" w:eastAsia="宋体" w:cs="宋体"/>
                <w:b/>
                <w:bCs/>
                <w:color w:val="auto"/>
                <w:kern w:val="0"/>
                <w:sz w:val="21"/>
                <w:szCs w:val="21"/>
                <w:highlight w:val="none"/>
                <w:u w:val="single"/>
              </w:rPr>
              <w:t>时00分</w:t>
            </w:r>
            <w:r>
              <w:rPr>
                <w:rFonts w:hint="eastAsia" w:ascii="宋体" w:hAnsi="宋体" w:eastAsia="宋体" w:cs="宋体"/>
                <w:b/>
                <w:bCs/>
                <w:color w:val="auto"/>
                <w:kern w:val="0"/>
                <w:sz w:val="21"/>
                <w:szCs w:val="21"/>
                <w:highlight w:val="none"/>
              </w:rPr>
              <w:t>（北京时间）</w:t>
            </w:r>
          </w:p>
        </w:tc>
      </w:tr>
      <w:tr w14:paraId="03B8A755">
        <w:tblPrEx>
          <w:tblCellMar>
            <w:top w:w="0" w:type="dxa"/>
            <w:left w:w="108" w:type="dxa"/>
            <w:bottom w:w="0" w:type="dxa"/>
            <w:right w:w="108" w:type="dxa"/>
          </w:tblCellMar>
        </w:tblPrEx>
        <w:trPr>
          <w:trHeight w:val="1142" w:hRule="atLeast"/>
        </w:trPr>
        <w:tc>
          <w:tcPr>
            <w:tcW w:w="1100" w:type="dxa"/>
            <w:tcBorders>
              <w:top w:val="single" w:color="auto" w:sz="4" w:space="0"/>
              <w:left w:val="single" w:color="auto" w:sz="4" w:space="0"/>
              <w:bottom w:val="single" w:color="auto" w:sz="4" w:space="0"/>
              <w:right w:val="single" w:color="auto" w:sz="4" w:space="0"/>
            </w:tcBorders>
            <w:vAlign w:val="center"/>
          </w:tcPr>
          <w:p w14:paraId="6FC983C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724" w:type="dxa"/>
            <w:tcBorders>
              <w:top w:val="single" w:color="auto" w:sz="4" w:space="0"/>
              <w:left w:val="single" w:color="auto" w:sz="4" w:space="0"/>
              <w:bottom w:val="single" w:color="auto" w:sz="4" w:space="0"/>
              <w:right w:val="single" w:color="auto" w:sz="4" w:space="0"/>
            </w:tcBorders>
            <w:vAlign w:val="center"/>
          </w:tcPr>
          <w:p w14:paraId="7FD21DFF">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确认收到磋商文件澄清的时间</w:t>
            </w:r>
          </w:p>
        </w:tc>
        <w:tc>
          <w:tcPr>
            <w:tcW w:w="6046" w:type="dxa"/>
            <w:tcBorders>
              <w:top w:val="single" w:color="auto" w:sz="4" w:space="0"/>
              <w:left w:val="single" w:color="auto" w:sz="4" w:space="0"/>
              <w:bottom w:val="single" w:color="auto" w:sz="4" w:space="0"/>
              <w:right w:val="single" w:color="auto" w:sz="4" w:space="0"/>
            </w:tcBorders>
            <w:vAlign w:val="center"/>
          </w:tcPr>
          <w:p w14:paraId="3DD8DEF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应及时查看本项目进展情况，若因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未及时查看相关澄清文件内容，造成的后果由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自负。</w:t>
            </w:r>
          </w:p>
        </w:tc>
      </w:tr>
      <w:tr w14:paraId="2A662BD1">
        <w:tblPrEx>
          <w:tblCellMar>
            <w:top w:w="0" w:type="dxa"/>
            <w:left w:w="108" w:type="dxa"/>
            <w:bottom w:w="0" w:type="dxa"/>
            <w:right w:w="108" w:type="dxa"/>
          </w:tblCellMar>
        </w:tblPrEx>
        <w:tc>
          <w:tcPr>
            <w:tcW w:w="1100" w:type="dxa"/>
            <w:tcBorders>
              <w:top w:val="single" w:color="auto" w:sz="4" w:space="0"/>
              <w:left w:val="single" w:color="auto" w:sz="4" w:space="0"/>
              <w:bottom w:val="single" w:color="auto" w:sz="4" w:space="0"/>
              <w:right w:val="single" w:color="auto" w:sz="4" w:space="0"/>
            </w:tcBorders>
            <w:vAlign w:val="center"/>
          </w:tcPr>
          <w:p w14:paraId="53ECAD9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1724" w:type="dxa"/>
            <w:tcBorders>
              <w:top w:val="single" w:color="auto" w:sz="4" w:space="0"/>
              <w:left w:val="single" w:color="auto" w:sz="4" w:space="0"/>
              <w:bottom w:val="single" w:color="auto" w:sz="4" w:space="0"/>
              <w:right w:val="single" w:color="auto" w:sz="4" w:space="0"/>
            </w:tcBorders>
            <w:vAlign w:val="center"/>
          </w:tcPr>
          <w:p w14:paraId="17C419FD">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确认收到磋商文件修改的时间</w:t>
            </w:r>
          </w:p>
        </w:tc>
        <w:tc>
          <w:tcPr>
            <w:tcW w:w="6046" w:type="dxa"/>
            <w:tcBorders>
              <w:top w:val="single" w:color="auto" w:sz="4" w:space="0"/>
              <w:left w:val="single" w:color="auto" w:sz="4" w:space="0"/>
              <w:bottom w:val="single" w:color="auto" w:sz="4" w:space="0"/>
              <w:right w:val="single" w:color="auto" w:sz="4" w:space="0"/>
            </w:tcBorders>
            <w:vAlign w:val="center"/>
          </w:tcPr>
          <w:p w14:paraId="0914621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应及时查看本项目进展情况，若因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未及时查看相关澄清文件内容，造成的后果由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自负。</w:t>
            </w:r>
          </w:p>
        </w:tc>
      </w:tr>
      <w:tr w14:paraId="52C5FD88">
        <w:tblPrEx>
          <w:tblCellMar>
            <w:top w:w="0" w:type="dxa"/>
            <w:left w:w="108" w:type="dxa"/>
            <w:bottom w:w="0" w:type="dxa"/>
            <w:right w:w="108" w:type="dxa"/>
          </w:tblCellMar>
        </w:tblPrEx>
        <w:tc>
          <w:tcPr>
            <w:tcW w:w="1100" w:type="dxa"/>
            <w:tcBorders>
              <w:top w:val="single" w:color="auto" w:sz="4" w:space="0"/>
              <w:left w:val="single" w:color="auto" w:sz="4" w:space="0"/>
              <w:bottom w:val="single" w:color="auto" w:sz="4" w:space="0"/>
              <w:right w:val="single" w:color="auto" w:sz="4" w:space="0"/>
            </w:tcBorders>
            <w:vAlign w:val="center"/>
          </w:tcPr>
          <w:p w14:paraId="39AE399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724" w:type="dxa"/>
            <w:tcBorders>
              <w:top w:val="single" w:color="auto" w:sz="4" w:space="0"/>
              <w:left w:val="single" w:color="auto" w:sz="4" w:space="0"/>
              <w:bottom w:val="single" w:color="auto" w:sz="4" w:space="0"/>
              <w:right w:val="single" w:color="auto" w:sz="4" w:space="0"/>
            </w:tcBorders>
            <w:vAlign w:val="center"/>
          </w:tcPr>
          <w:p w14:paraId="7847D214">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w:t>
            </w:r>
          </w:p>
          <w:p w14:paraId="749FAE3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的其他材料</w:t>
            </w:r>
          </w:p>
        </w:tc>
        <w:tc>
          <w:tcPr>
            <w:tcW w:w="6046" w:type="dxa"/>
            <w:tcBorders>
              <w:top w:val="single" w:color="auto" w:sz="4" w:space="0"/>
              <w:left w:val="single" w:color="auto" w:sz="4" w:space="0"/>
              <w:bottom w:val="single" w:color="auto" w:sz="4" w:space="0"/>
              <w:right w:val="single" w:color="auto" w:sz="4" w:space="0"/>
            </w:tcBorders>
            <w:vAlign w:val="center"/>
          </w:tcPr>
          <w:p w14:paraId="65ED320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除磋商文件外，采购人在磋商期间发出的澄清、修改等内容均是竞争性磋商文件的组成部分</w:t>
            </w:r>
          </w:p>
        </w:tc>
      </w:tr>
      <w:tr w14:paraId="3C96F30E">
        <w:tblPrEx>
          <w:tblCellMar>
            <w:top w:w="0" w:type="dxa"/>
            <w:left w:w="108" w:type="dxa"/>
            <w:bottom w:w="0" w:type="dxa"/>
            <w:right w:w="108" w:type="dxa"/>
          </w:tblCellMar>
        </w:tblPrEx>
        <w:trPr>
          <w:trHeight w:val="624" w:hRule="atLeast"/>
        </w:trPr>
        <w:tc>
          <w:tcPr>
            <w:tcW w:w="1100" w:type="dxa"/>
            <w:tcBorders>
              <w:top w:val="single" w:color="auto" w:sz="4" w:space="0"/>
              <w:left w:val="single" w:color="auto" w:sz="4" w:space="0"/>
              <w:bottom w:val="single" w:color="auto" w:sz="4" w:space="0"/>
              <w:right w:val="single" w:color="auto" w:sz="4" w:space="0"/>
            </w:tcBorders>
            <w:vAlign w:val="center"/>
          </w:tcPr>
          <w:p w14:paraId="1AD5000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724" w:type="dxa"/>
            <w:tcBorders>
              <w:top w:val="single" w:color="auto" w:sz="4" w:space="0"/>
              <w:left w:val="single" w:color="auto" w:sz="4" w:space="0"/>
              <w:bottom w:val="single" w:color="auto" w:sz="4" w:space="0"/>
              <w:right w:val="single" w:color="auto" w:sz="4" w:space="0"/>
            </w:tcBorders>
            <w:vAlign w:val="center"/>
          </w:tcPr>
          <w:p w14:paraId="07883C1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6046" w:type="dxa"/>
            <w:tcBorders>
              <w:top w:val="single" w:color="auto" w:sz="4" w:space="0"/>
              <w:left w:val="single" w:color="auto" w:sz="4" w:space="0"/>
              <w:bottom w:val="single" w:color="auto" w:sz="4" w:space="0"/>
              <w:right w:val="single" w:color="auto" w:sz="4" w:space="0"/>
            </w:tcBorders>
            <w:vAlign w:val="center"/>
          </w:tcPr>
          <w:p w14:paraId="30B4DF9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woUserID w:val="1"/>
              </w:rPr>
              <w:t>60</w:t>
            </w:r>
            <w:bookmarkStart w:id="1256" w:name="_GoBack"/>
            <w:bookmarkEnd w:id="1256"/>
            <w:r>
              <w:rPr>
                <w:rFonts w:hint="eastAsia" w:ascii="宋体" w:hAnsi="宋体" w:eastAsia="宋体" w:cs="宋体"/>
                <w:color w:val="auto"/>
                <w:kern w:val="0"/>
                <w:sz w:val="21"/>
                <w:szCs w:val="21"/>
                <w:highlight w:val="none"/>
              </w:rPr>
              <w:t>日历天（响应文件截止之日起）</w:t>
            </w:r>
          </w:p>
        </w:tc>
      </w:tr>
      <w:tr w14:paraId="06484BCB">
        <w:tblPrEx>
          <w:tblCellMar>
            <w:top w:w="0" w:type="dxa"/>
            <w:left w:w="108" w:type="dxa"/>
            <w:bottom w:w="0" w:type="dxa"/>
            <w:right w:w="108" w:type="dxa"/>
          </w:tblCellMar>
        </w:tblPrEx>
        <w:trPr>
          <w:trHeight w:val="624" w:hRule="atLeast"/>
        </w:trPr>
        <w:tc>
          <w:tcPr>
            <w:tcW w:w="1100" w:type="dxa"/>
            <w:tcBorders>
              <w:top w:val="single" w:color="auto" w:sz="4" w:space="0"/>
              <w:left w:val="single" w:color="auto" w:sz="4" w:space="0"/>
              <w:bottom w:val="single" w:color="auto" w:sz="4" w:space="0"/>
              <w:right w:val="single" w:color="auto" w:sz="4" w:space="0"/>
            </w:tcBorders>
            <w:vAlign w:val="center"/>
          </w:tcPr>
          <w:p w14:paraId="65BC49A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724" w:type="dxa"/>
            <w:tcBorders>
              <w:top w:val="single" w:color="auto" w:sz="4" w:space="0"/>
              <w:left w:val="single" w:color="auto" w:sz="4" w:space="0"/>
              <w:bottom w:val="single" w:color="auto" w:sz="4" w:space="0"/>
              <w:right w:val="single" w:color="auto" w:sz="4" w:space="0"/>
            </w:tcBorders>
            <w:vAlign w:val="center"/>
          </w:tcPr>
          <w:p w14:paraId="6DC58EF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磋商保证金</w:t>
            </w:r>
          </w:p>
        </w:tc>
        <w:tc>
          <w:tcPr>
            <w:tcW w:w="6046" w:type="dxa"/>
            <w:tcBorders>
              <w:top w:val="single" w:color="auto" w:sz="4" w:space="0"/>
              <w:left w:val="single" w:color="auto" w:sz="4" w:space="0"/>
              <w:bottom w:val="single" w:color="auto" w:sz="4" w:space="0"/>
              <w:right w:val="single" w:color="auto" w:sz="4" w:space="0"/>
            </w:tcBorders>
            <w:vAlign w:val="center"/>
          </w:tcPr>
          <w:p w14:paraId="28DB71A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不缴纳</w:t>
            </w:r>
          </w:p>
        </w:tc>
      </w:tr>
      <w:tr w14:paraId="4B82C5B7">
        <w:tblPrEx>
          <w:tblCellMar>
            <w:top w:w="0" w:type="dxa"/>
            <w:left w:w="108" w:type="dxa"/>
            <w:bottom w:w="0" w:type="dxa"/>
            <w:right w:w="108" w:type="dxa"/>
          </w:tblCellMar>
        </w:tblPrEx>
        <w:tc>
          <w:tcPr>
            <w:tcW w:w="1100" w:type="dxa"/>
            <w:tcBorders>
              <w:top w:val="single" w:color="auto" w:sz="4" w:space="0"/>
              <w:left w:val="single" w:color="auto" w:sz="4" w:space="0"/>
              <w:bottom w:val="single" w:color="auto" w:sz="4" w:space="0"/>
              <w:right w:val="single" w:color="auto" w:sz="4" w:space="0"/>
            </w:tcBorders>
            <w:vAlign w:val="center"/>
          </w:tcPr>
          <w:p w14:paraId="58256F50">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724" w:type="dxa"/>
            <w:tcBorders>
              <w:top w:val="single" w:color="auto" w:sz="4" w:space="0"/>
              <w:left w:val="single" w:color="auto" w:sz="4" w:space="0"/>
              <w:bottom w:val="single" w:color="auto" w:sz="4" w:space="0"/>
              <w:right w:val="single" w:color="auto" w:sz="4" w:space="0"/>
            </w:tcBorders>
            <w:vAlign w:val="center"/>
          </w:tcPr>
          <w:p w14:paraId="105413A3">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w:t>
            </w:r>
          </w:p>
          <w:p w14:paraId="5F454804">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备选磋商方案</w:t>
            </w:r>
          </w:p>
        </w:tc>
        <w:tc>
          <w:tcPr>
            <w:tcW w:w="6046" w:type="dxa"/>
            <w:tcBorders>
              <w:top w:val="single" w:color="auto" w:sz="4" w:space="0"/>
              <w:left w:val="single" w:color="auto" w:sz="4" w:space="0"/>
              <w:bottom w:val="single" w:color="auto" w:sz="4" w:space="0"/>
              <w:right w:val="single" w:color="auto" w:sz="4" w:space="0"/>
            </w:tcBorders>
            <w:vAlign w:val="center"/>
          </w:tcPr>
          <w:p w14:paraId="63013803">
            <w:pPr>
              <w:pStyle w:val="9"/>
              <w:keepNext w:val="0"/>
              <w:keepLines w:val="0"/>
              <w:pageBreakBefore w:val="0"/>
              <w:widowControl w:val="0"/>
              <w:suppressLineNumbers w:val="0"/>
              <w:kinsoku/>
              <w:wordWrap/>
              <w:overflowPunct/>
              <w:topLine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不允许</w:t>
            </w:r>
          </w:p>
        </w:tc>
      </w:tr>
      <w:tr w14:paraId="7A198403">
        <w:tblPrEx>
          <w:tblCellMar>
            <w:top w:w="0" w:type="dxa"/>
            <w:left w:w="108" w:type="dxa"/>
            <w:bottom w:w="0" w:type="dxa"/>
            <w:right w:w="108" w:type="dxa"/>
          </w:tblCellMar>
        </w:tblPrEx>
        <w:trPr>
          <w:trHeight w:val="90" w:hRule="atLeast"/>
        </w:trPr>
        <w:tc>
          <w:tcPr>
            <w:tcW w:w="1100" w:type="dxa"/>
            <w:tcBorders>
              <w:top w:val="single" w:color="auto" w:sz="4" w:space="0"/>
              <w:left w:val="single" w:color="auto" w:sz="4" w:space="0"/>
              <w:bottom w:val="single" w:color="auto" w:sz="4" w:space="0"/>
              <w:right w:val="single" w:color="auto" w:sz="4" w:space="0"/>
            </w:tcBorders>
            <w:vAlign w:val="center"/>
          </w:tcPr>
          <w:p w14:paraId="167B2BE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724" w:type="dxa"/>
            <w:tcBorders>
              <w:top w:val="single" w:color="auto" w:sz="4" w:space="0"/>
              <w:left w:val="single" w:color="auto" w:sz="4" w:space="0"/>
              <w:bottom w:val="single" w:color="auto" w:sz="4" w:space="0"/>
              <w:right w:val="single" w:color="auto" w:sz="4" w:space="0"/>
            </w:tcBorders>
            <w:vAlign w:val="center"/>
          </w:tcPr>
          <w:p w14:paraId="739C3E2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签字盖章要求</w:t>
            </w:r>
          </w:p>
        </w:tc>
        <w:tc>
          <w:tcPr>
            <w:tcW w:w="6046" w:type="dxa"/>
            <w:tcBorders>
              <w:top w:val="single" w:color="auto" w:sz="4" w:space="0"/>
              <w:left w:val="single" w:color="auto" w:sz="4" w:space="0"/>
              <w:bottom w:val="single" w:color="auto" w:sz="4" w:space="0"/>
              <w:right w:val="single" w:color="auto" w:sz="4" w:space="0"/>
            </w:tcBorders>
            <w:vAlign w:val="center"/>
          </w:tcPr>
          <w:p w14:paraId="4BD4600F">
            <w:pPr>
              <w:keepNext w:val="0"/>
              <w:keepLines w:val="0"/>
              <w:pageBreakBefore w:val="0"/>
              <w:widowControl w:val="0"/>
              <w:suppressLineNumbers w:val="0"/>
              <w:kinsoku/>
              <w:overflowPunct/>
              <w:topLinePunct w:val="0"/>
              <w:autoSpaceDE w:val="0"/>
              <w:autoSpaceDN w:val="0"/>
              <w:bidi w:val="0"/>
              <w:adjustRightInd w:val="0"/>
              <w:snapToGrid/>
              <w:spacing w:before="0" w:beforeAutospacing="0" w:after="0" w:afterAutospacing="0" w:line="460" w:lineRule="exact"/>
              <w:ind w:left="0" w:leftChars="0" w:right="105" w:rightChars="50" w:firstLine="0" w:firstLineChars="0"/>
              <w:textAlignment w:val="auto"/>
              <w:rPr>
                <w:rFonts w:hint="eastAsia" w:ascii="宋体" w:hAnsi="宋体" w:eastAsia="宋体" w:cs="宋体"/>
                <w:color w:val="auto"/>
                <w:spacing w:val="0"/>
                <w:kern w:val="0"/>
                <w:sz w:val="21"/>
                <w:szCs w:val="21"/>
                <w:highlight w:val="none"/>
                <w:woUserID w:val="1"/>
              </w:rPr>
            </w:pPr>
            <w:r>
              <w:rPr>
                <w:rFonts w:hint="eastAsia" w:ascii="宋体" w:hAnsi="宋体" w:eastAsia="宋体" w:cs="宋体"/>
                <w:color w:val="auto"/>
                <w:spacing w:val="0"/>
                <w:kern w:val="0"/>
                <w:sz w:val="21"/>
                <w:szCs w:val="21"/>
                <w:highlight w:val="none"/>
                <w:woUserID w:val="1"/>
              </w:rPr>
              <w:t>1.所有要求投标人加盖公章的地方都应用投标人单位的CA锁进行签章。</w:t>
            </w:r>
          </w:p>
          <w:p w14:paraId="5EF6DF19">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woUserID w:val="1"/>
              </w:rPr>
              <w:t>2.所有要求法定代表人签字的地方都应用法定代表人的CA锁进行签章。若有要求委托代理人签字的地方且委托代理人没有 CA 锁，则投标文件</w:t>
            </w:r>
            <w:r>
              <w:rPr>
                <w:rFonts w:hint="eastAsia" w:ascii="宋体" w:hAnsi="宋体" w:eastAsia="宋体" w:cs="宋体"/>
                <w:color w:val="auto"/>
                <w:spacing w:val="0"/>
                <w:kern w:val="0"/>
                <w:sz w:val="21"/>
                <w:szCs w:val="21"/>
                <w:highlight w:val="none"/>
                <w:lang w:eastAsia="zh-CN"/>
                <w:woUserID w:val="1"/>
              </w:rPr>
              <w:t>可</w:t>
            </w:r>
            <w:r>
              <w:rPr>
                <w:rFonts w:hint="eastAsia" w:ascii="宋体" w:hAnsi="宋体" w:eastAsia="宋体" w:cs="宋体"/>
                <w:color w:val="auto"/>
                <w:spacing w:val="0"/>
                <w:kern w:val="0"/>
                <w:sz w:val="21"/>
                <w:szCs w:val="21"/>
                <w:highlight w:val="none"/>
                <w:woUserID w:val="1"/>
              </w:rPr>
              <w:t>上传有手写签名后的扫描图片替换到相应格式中。</w:t>
            </w:r>
          </w:p>
        </w:tc>
      </w:tr>
      <w:tr w14:paraId="56D949D7">
        <w:tblPrEx>
          <w:tblCellMar>
            <w:top w:w="0" w:type="dxa"/>
            <w:left w:w="108" w:type="dxa"/>
            <w:bottom w:w="0" w:type="dxa"/>
            <w:right w:w="108" w:type="dxa"/>
          </w:tblCellMar>
        </w:tblPrEx>
        <w:trPr>
          <w:trHeight w:val="433" w:hRule="atLeast"/>
        </w:trPr>
        <w:tc>
          <w:tcPr>
            <w:tcW w:w="1100" w:type="dxa"/>
            <w:tcBorders>
              <w:top w:val="single" w:color="auto" w:sz="4" w:space="0"/>
              <w:left w:val="single" w:color="auto" w:sz="4" w:space="0"/>
              <w:bottom w:val="single" w:color="auto" w:sz="4" w:space="0"/>
              <w:right w:val="single" w:color="auto" w:sz="4" w:space="0"/>
            </w:tcBorders>
            <w:vAlign w:val="center"/>
          </w:tcPr>
          <w:p w14:paraId="1DDDA9F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w:t>
            </w:r>
          </w:p>
        </w:tc>
        <w:tc>
          <w:tcPr>
            <w:tcW w:w="1724" w:type="dxa"/>
            <w:tcBorders>
              <w:top w:val="single" w:color="auto" w:sz="4" w:space="0"/>
              <w:left w:val="single" w:color="auto" w:sz="4" w:space="0"/>
              <w:bottom w:val="single" w:color="auto" w:sz="4" w:space="0"/>
              <w:right w:val="single" w:color="auto" w:sz="4" w:space="0"/>
            </w:tcBorders>
            <w:vAlign w:val="center"/>
          </w:tcPr>
          <w:p w14:paraId="7D8009C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6046" w:type="dxa"/>
            <w:tcBorders>
              <w:top w:val="single" w:color="auto" w:sz="4" w:space="0"/>
              <w:left w:val="single" w:color="auto" w:sz="4" w:space="0"/>
              <w:bottom w:val="single" w:color="auto" w:sz="4" w:space="0"/>
              <w:right w:val="single" w:color="auto" w:sz="4" w:space="0"/>
            </w:tcBorders>
            <w:vAlign w:val="center"/>
          </w:tcPr>
          <w:p w14:paraId="1E7849BA">
            <w:pPr>
              <w:keepNext w:val="0"/>
              <w:keepLines w:val="0"/>
              <w:pageBreakBefore w:val="0"/>
              <w:widowControl w:val="0"/>
              <w:suppressLineNumbers w:val="0"/>
              <w:kinsoku/>
              <w:overflowPunct/>
              <w:topLinePunct w:val="0"/>
              <w:bidi w:val="0"/>
              <w:snapToGrid/>
              <w:spacing w:before="0" w:beforeAutospacing="0" w:after="0" w:afterAutospacing="0" w:line="460" w:lineRule="exact"/>
              <w:ind w:left="0" w:leftChars="0" w:right="105" w:rightChars="50" w:firstLine="0" w:firstLineChars="0"/>
              <w:textAlignment w:val="auto"/>
              <w:rPr>
                <w:rFonts w:hint="eastAsia" w:ascii="宋体" w:hAnsi="宋体" w:eastAsia="宋体" w:cs="宋体"/>
                <w:color w:val="auto"/>
                <w:spacing w:val="0"/>
                <w:sz w:val="21"/>
                <w:szCs w:val="21"/>
                <w:highlight w:val="none"/>
                <w:woUserID w:val="1"/>
              </w:rPr>
            </w:pPr>
            <w:r>
              <w:rPr>
                <w:rFonts w:hint="eastAsia" w:ascii="宋体" w:hAnsi="宋体" w:eastAsia="宋体" w:cs="宋体"/>
                <w:color w:val="auto"/>
                <w:spacing w:val="0"/>
                <w:sz w:val="21"/>
                <w:szCs w:val="21"/>
                <w:highlight w:val="none"/>
                <w:woUserID w:val="1"/>
              </w:rPr>
              <w:t>1</w:t>
            </w:r>
            <w:r>
              <w:rPr>
                <w:rFonts w:hint="eastAsia" w:ascii="宋体" w:hAnsi="宋体" w:eastAsia="宋体" w:cs="宋体"/>
                <w:color w:val="auto"/>
                <w:spacing w:val="0"/>
                <w:sz w:val="21"/>
                <w:szCs w:val="21"/>
                <w:highlight w:val="none"/>
                <w:lang w:eastAsia="zh"/>
                <w:woUserID w:val="1"/>
              </w:rPr>
              <w:t>.</w:t>
            </w:r>
            <w:r>
              <w:rPr>
                <w:rFonts w:hint="eastAsia" w:ascii="宋体" w:hAnsi="宋体" w:eastAsia="宋体" w:cs="宋体"/>
                <w:color w:val="auto"/>
                <w:spacing w:val="0"/>
                <w:sz w:val="21"/>
                <w:szCs w:val="21"/>
                <w:highlight w:val="none"/>
                <w:woUserID w:val="1"/>
              </w:rPr>
              <w:t>加密的电子投标文件壹份（.ZZTF格式，在会员系统指定位置上传）。</w:t>
            </w:r>
          </w:p>
          <w:p w14:paraId="5BA776E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pacing w:val="0"/>
                <w:sz w:val="21"/>
                <w:szCs w:val="21"/>
                <w:highlight w:val="none"/>
                <w:woUserID w:val="1"/>
              </w:rPr>
              <w:t>2</w:t>
            </w:r>
            <w:r>
              <w:rPr>
                <w:rFonts w:hint="eastAsia" w:ascii="宋体" w:hAnsi="宋体" w:eastAsia="宋体" w:cs="宋体"/>
                <w:color w:val="auto"/>
                <w:spacing w:val="0"/>
                <w:sz w:val="21"/>
                <w:szCs w:val="21"/>
                <w:highlight w:val="none"/>
                <w:lang w:eastAsia="zh"/>
                <w:woUserID w:val="1"/>
              </w:rPr>
              <w:t>.</w:t>
            </w:r>
            <w:r>
              <w:rPr>
                <w:rFonts w:hint="eastAsia" w:ascii="宋体" w:hAnsi="宋体" w:eastAsia="宋体" w:cs="宋体"/>
                <w:color w:val="auto"/>
                <w:spacing w:val="0"/>
                <w:sz w:val="21"/>
                <w:szCs w:val="21"/>
                <w:highlight w:val="none"/>
                <w:woUserID w:val="1"/>
              </w:rPr>
              <w:t>中标人在中标后须根据招标人要求份数提供纸质投标文件，U盘投标文件壹份（word版本电子文档）。</w:t>
            </w:r>
          </w:p>
        </w:tc>
      </w:tr>
      <w:tr w14:paraId="6E95BBB6">
        <w:tblPrEx>
          <w:tblCellMar>
            <w:top w:w="0" w:type="dxa"/>
            <w:left w:w="108" w:type="dxa"/>
            <w:bottom w:w="0" w:type="dxa"/>
            <w:right w:w="108" w:type="dxa"/>
          </w:tblCellMar>
        </w:tblPrEx>
        <w:trPr>
          <w:trHeight w:val="433" w:hRule="atLeast"/>
        </w:trPr>
        <w:tc>
          <w:tcPr>
            <w:tcW w:w="1100" w:type="dxa"/>
            <w:tcBorders>
              <w:top w:val="single" w:color="auto" w:sz="4" w:space="0"/>
              <w:left w:val="single" w:color="auto" w:sz="4" w:space="0"/>
              <w:bottom w:val="single" w:color="auto" w:sz="4" w:space="0"/>
              <w:right w:val="single" w:color="auto" w:sz="4" w:space="0"/>
            </w:tcBorders>
            <w:vAlign w:val="center"/>
          </w:tcPr>
          <w:p w14:paraId="0FE081B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w:t>
            </w:r>
          </w:p>
        </w:tc>
        <w:tc>
          <w:tcPr>
            <w:tcW w:w="1724" w:type="dxa"/>
            <w:tcBorders>
              <w:top w:val="single" w:color="auto" w:sz="4" w:space="0"/>
              <w:left w:val="single" w:color="auto" w:sz="4" w:space="0"/>
              <w:bottom w:val="single" w:color="auto" w:sz="4" w:space="0"/>
              <w:right w:val="single" w:color="auto" w:sz="4" w:space="0"/>
            </w:tcBorders>
            <w:vAlign w:val="center"/>
          </w:tcPr>
          <w:p w14:paraId="79E142A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项目属性</w:t>
            </w:r>
          </w:p>
        </w:tc>
        <w:tc>
          <w:tcPr>
            <w:tcW w:w="6046" w:type="dxa"/>
            <w:tcBorders>
              <w:top w:val="single" w:color="auto" w:sz="4" w:space="0"/>
              <w:left w:val="single" w:color="auto" w:sz="4" w:space="0"/>
              <w:bottom w:val="single" w:color="auto" w:sz="4" w:space="0"/>
              <w:right w:val="single" w:color="auto" w:sz="4" w:space="0"/>
            </w:tcBorders>
            <w:vAlign w:val="center"/>
          </w:tcPr>
          <w:p w14:paraId="40922B0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lang w:eastAsia="zh"/>
                <w:woUserID w:val="5"/>
              </w:rPr>
            </w:pPr>
            <w:r>
              <w:rPr>
                <w:rFonts w:hint="eastAsia" w:ascii="宋体" w:hAnsi="宋体" w:cs="宋体"/>
                <w:strike w:val="0"/>
                <w:dstrike w:val="0"/>
                <w:color w:val="auto"/>
                <w:sz w:val="21"/>
                <w:szCs w:val="21"/>
                <w:highlight w:val="none"/>
                <w:lang w:eastAsia="zh-CN"/>
              </w:rPr>
              <w:t>工程</w:t>
            </w:r>
            <w:r>
              <w:rPr>
                <w:rFonts w:hint="eastAsia" w:ascii="宋体" w:hAnsi="宋体" w:cs="宋体"/>
                <w:strike w:val="0"/>
                <w:dstrike w:val="0"/>
                <w:color w:val="auto"/>
                <w:sz w:val="21"/>
                <w:szCs w:val="21"/>
                <w:highlight w:val="none"/>
                <w:lang w:eastAsia="zh"/>
                <w:woUserID w:val="5"/>
              </w:rPr>
              <w:t xml:space="preserve"> </w:t>
            </w:r>
          </w:p>
        </w:tc>
      </w:tr>
      <w:tr w14:paraId="40ED18B1">
        <w:tblPrEx>
          <w:tblCellMar>
            <w:top w:w="0" w:type="dxa"/>
            <w:left w:w="108" w:type="dxa"/>
            <w:bottom w:w="0" w:type="dxa"/>
            <w:right w:w="108" w:type="dxa"/>
          </w:tblCellMar>
        </w:tblPrEx>
        <w:trPr>
          <w:trHeight w:val="617" w:hRule="atLeast"/>
        </w:trPr>
        <w:tc>
          <w:tcPr>
            <w:tcW w:w="1100" w:type="dxa"/>
            <w:tcBorders>
              <w:top w:val="single" w:color="auto" w:sz="4" w:space="0"/>
              <w:left w:val="single" w:color="auto" w:sz="4" w:space="0"/>
              <w:bottom w:val="single" w:color="auto" w:sz="4" w:space="0"/>
              <w:right w:val="single" w:color="auto" w:sz="4" w:space="0"/>
            </w:tcBorders>
            <w:vAlign w:val="center"/>
          </w:tcPr>
          <w:p w14:paraId="31434C9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724" w:type="dxa"/>
            <w:tcBorders>
              <w:top w:val="single" w:color="auto" w:sz="4" w:space="0"/>
              <w:left w:val="single" w:color="auto" w:sz="4" w:space="0"/>
              <w:bottom w:val="single" w:color="auto" w:sz="4" w:space="0"/>
              <w:right w:val="single" w:color="auto" w:sz="4" w:space="0"/>
            </w:tcBorders>
            <w:vAlign w:val="center"/>
          </w:tcPr>
          <w:p w14:paraId="782568A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提交响应文件地点</w:t>
            </w:r>
          </w:p>
        </w:tc>
        <w:tc>
          <w:tcPr>
            <w:tcW w:w="6046" w:type="dxa"/>
            <w:tcBorders>
              <w:top w:val="single" w:color="auto" w:sz="4" w:space="0"/>
              <w:left w:val="single" w:color="auto" w:sz="4" w:space="0"/>
              <w:bottom w:val="single" w:color="auto" w:sz="4" w:space="0"/>
              <w:right w:val="single" w:color="auto" w:sz="4" w:space="0"/>
            </w:tcBorders>
            <w:vAlign w:val="center"/>
          </w:tcPr>
          <w:p w14:paraId="2BA939C0">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“河南省公共资源交易中心（http://hnsggzyjy.henan.gov.cn）”电子交易平台加密上传</w:t>
            </w:r>
          </w:p>
        </w:tc>
      </w:tr>
      <w:tr w14:paraId="22F074DD">
        <w:tblPrEx>
          <w:tblCellMar>
            <w:top w:w="0" w:type="dxa"/>
            <w:left w:w="108" w:type="dxa"/>
            <w:bottom w:w="0" w:type="dxa"/>
            <w:right w:w="108" w:type="dxa"/>
          </w:tblCellMar>
        </w:tblPrEx>
        <w:trPr>
          <w:trHeight w:val="617" w:hRule="atLeast"/>
        </w:trPr>
        <w:tc>
          <w:tcPr>
            <w:tcW w:w="1100" w:type="dxa"/>
            <w:tcBorders>
              <w:top w:val="single" w:color="auto" w:sz="4" w:space="0"/>
              <w:left w:val="single" w:color="auto" w:sz="4" w:space="0"/>
              <w:bottom w:val="single" w:color="auto" w:sz="4" w:space="0"/>
              <w:right w:val="single" w:color="auto" w:sz="4" w:space="0"/>
            </w:tcBorders>
            <w:vAlign w:val="center"/>
          </w:tcPr>
          <w:p w14:paraId="75743D65">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724" w:type="dxa"/>
            <w:tcBorders>
              <w:top w:val="single" w:color="auto" w:sz="4" w:space="0"/>
              <w:left w:val="single" w:color="auto" w:sz="4" w:space="0"/>
              <w:bottom w:val="single" w:color="auto" w:sz="4" w:space="0"/>
              <w:right w:val="single" w:color="auto" w:sz="4" w:space="0"/>
            </w:tcBorders>
            <w:vAlign w:val="center"/>
          </w:tcPr>
          <w:p w14:paraId="79A043B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是否退还响应文件</w:t>
            </w:r>
          </w:p>
        </w:tc>
        <w:tc>
          <w:tcPr>
            <w:tcW w:w="6046" w:type="dxa"/>
            <w:tcBorders>
              <w:top w:val="single" w:color="auto" w:sz="4" w:space="0"/>
              <w:left w:val="single" w:color="auto" w:sz="4" w:space="0"/>
              <w:bottom w:val="single" w:color="auto" w:sz="4" w:space="0"/>
              <w:right w:val="single" w:color="auto" w:sz="4" w:space="0"/>
            </w:tcBorders>
            <w:vAlign w:val="center"/>
          </w:tcPr>
          <w:p w14:paraId="4A47C756">
            <w:pPr>
              <w:pStyle w:val="9"/>
              <w:keepNext w:val="0"/>
              <w:keepLines w:val="0"/>
              <w:pageBreakBefore w:val="0"/>
              <w:widowControl w:val="0"/>
              <w:suppressLineNumbers w:val="0"/>
              <w:kinsoku/>
              <w:wordWrap/>
              <w:overflowPunct/>
              <w:topLine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否</w:t>
            </w:r>
          </w:p>
        </w:tc>
      </w:tr>
      <w:tr w14:paraId="0868334C">
        <w:tblPrEx>
          <w:tblCellMar>
            <w:top w:w="0" w:type="dxa"/>
            <w:left w:w="108" w:type="dxa"/>
            <w:bottom w:w="0" w:type="dxa"/>
            <w:right w:w="108" w:type="dxa"/>
          </w:tblCellMar>
        </w:tblPrEx>
        <w:trPr>
          <w:trHeight w:val="685" w:hRule="atLeast"/>
        </w:trPr>
        <w:tc>
          <w:tcPr>
            <w:tcW w:w="1100" w:type="dxa"/>
            <w:tcBorders>
              <w:top w:val="single" w:color="auto" w:sz="4" w:space="0"/>
              <w:left w:val="single" w:color="auto" w:sz="4" w:space="0"/>
              <w:bottom w:val="single" w:color="auto" w:sz="4" w:space="0"/>
              <w:right w:val="single" w:color="auto" w:sz="4" w:space="0"/>
            </w:tcBorders>
            <w:vAlign w:val="center"/>
          </w:tcPr>
          <w:p w14:paraId="76E6433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724" w:type="dxa"/>
            <w:tcBorders>
              <w:top w:val="single" w:color="auto" w:sz="4" w:space="0"/>
              <w:left w:val="single" w:color="auto" w:sz="4" w:space="0"/>
              <w:bottom w:val="single" w:color="auto" w:sz="4" w:space="0"/>
              <w:right w:val="single" w:color="auto" w:sz="4" w:space="0"/>
            </w:tcBorders>
            <w:vAlign w:val="center"/>
          </w:tcPr>
          <w:p w14:paraId="6E75783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磋商时间和地点</w:t>
            </w:r>
          </w:p>
        </w:tc>
        <w:tc>
          <w:tcPr>
            <w:tcW w:w="6046" w:type="dxa"/>
            <w:tcBorders>
              <w:top w:val="single" w:color="auto" w:sz="4" w:space="0"/>
              <w:left w:val="single" w:color="auto" w:sz="4" w:space="0"/>
              <w:bottom w:val="single" w:color="auto" w:sz="4" w:space="0"/>
              <w:right w:val="single" w:color="auto" w:sz="4" w:space="0"/>
            </w:tcBorders>
            <w:vAlign w:val="center"/>
          </w:tcPr>
          <w:p w14:paraId="7C9EEA08">
            <w:pPr>
              <w:keepNext w:val="0"/>
              <w:keepLines w:val="0"/>
              <w:pageBreakBefore w:val="0"/>
              <w:widowControl w:val="0"/>
              <w:suppressLineNumbers w:val="0"/>
              <w:kinsoku/>
              <w:wordWrap/>
              <w:overflowPunct/>
              <w:autoSpaceDE w:val="0"/>
              <w:autoSpaceDN w:val="0"/>
              <w:bidi w:val="0"/>
              <w:adjustRightInd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磋商</w:t>
            </w:r>
            <w:r>
              <w:rPr>
                <w:rFonts w:hint="eastAsia" w:ascii="宋体" w:hAnsi="宋体" w:eastAsia="宋体" w:cs="宋体"/>
                <w:color w:val="auto"/>
                <w:kern w:val="0"/>
                <w:sz w:val="21"/>
                <w:szCs w:val="21"/>
                <w:highlight w:val="none"/>
              </w:rPr>
              <w:t>时间：同</w:t>
            </w:r>
            <w:r>
              <w:rPr>
                <w:rFonts w:hint="eastAsia" w:ascii="宋体" w:hAnsi="宋体" w:eastAsia="宋体" w:cs="宋体"/>
                <w:color w:val="auto"/>
                <w:sz w:val="21"/>
                <w:szCs w:val="21"/>
                <w:highlight w:val="none"/>
              </w:rPr>
              <w:t>响应文件提交</w:t>
            </w:r>
            <w:r>
              <w:rPr>
                <w:rFonts w:hint="eastAsia" w:ascii="宋体" w:hAnsi="宋体" w:eastAsia="宋体" w:cs="宋体"/>
                <w:color w:val="auto"/>
                <w:kern w:val="0"/>
                <w:sz w:val="21"/>
                <w:szCs w:val="21"/>
                <w:highlight w:val="none"/>
              </w:rPr>
              <w:t>截止时间</w:t>
            </w:r>
          </w:p>
          <w:p w14:paraId="4A4388C3">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rPr>
              <w:t>河南省公共资源交易中心远程开标室</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tc>
      </w:tr>
      <w:tr w14:paraId="31DC00D5">
        <w:tblPrEx>
          <w:tblCellMar>
            <w:top w:w="0" w:type="dxa"/>
            <w:left w:w="108" w:type="dxa"/>
            <w:bottom w:w="0" w:type="dxa"/>
            <w:right w:w="108" w:type="dxa"/>
          </w:tblCellMar>
        </w:tblPrEx>
        <w:trPr>
          <w:trHeight w:val="1040" w:hRule="atLeast"/>
        </w:trPr>
        <w:tc>
          <w:tcPr>
            <w:tcW w:w="1100" w:type="dxa"/>
            <w:tcBorders>
              <w:top w:val="single" w:color="auto" w:sz="4" w:space="0"/>
              <w:left w:val="single" w:color="auto" w:sz="4" w:space="0"/>
              <w:bottom w:val="single" w:color="auto" w:sz="4" w:space="0"/>
              <w:right w:val="single" w:color="auto" w:sz="4" w:space="0"/>
            </w:tcBorders>
            <w:vAlign w:val="center"/>
          </w:tcPr>
          <w:p w14:paraId="4F43BD1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724" w:type="dxa"/>
            <w:tcBorders>
              <w:top w:val="single" w:color="auto" w:sz="4" w:space="0"/>
              <w:left w:val="single" w:color="auto" w:sz="4" w:space="0"/>
              <w:bottom w:val="single" w:color="auto" w:sz="4" w:space="0"/>
              <w:right w:val="single" w:color="auto" w:sz="4" w:space="0"/>
            </w:tcBorders>
            <w:vAlign w:val="center"/>
          </w:tcPr>
          <w:p w14:paraId="11A465E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磋商小组的组建</w:t>
            </w:r>
          </w:p>
        </w:tc>
        <w:tc>
          <w:tcPr>
            <w:tcW w:w="6046" w:type="dxa"/>
            <w:tcBorders>
              <w:top w:val="single" w:color="auto" w:sz="4" w:space="0"/>
              <w:left w:val="single" w:color="auto" w:sz="4" w:space="0"/>
              <w:bottom w:val="single" w:color="auto" w:sz="4" w:space="0"/>
              <w:right w:val="single" w:color="auto" w:sz="4" w:space="0"/>
            </w:tcBorders>
            <w:vAlign w:val="center"/>
          </w:tcPr>
          <w:p w14:paraId="62F3260D">
            <w:pPr>
              <w:keepNext w:val="0"/>
              <w:keepLines w:val="0"/>
              <w:pageBreakBefore w:val="0"/>
              <w:widowControl w:val="0"/>
              <w:suppressLineNumbers w:val="0"/>
              <w:kinsoku/>
              <w:wordWrap/>
              <w:overflowPunct/>
              <w:autoSpaceDE w:val="0"/>
              <w:autoSpaceDN w:val="0"/>
              <w:bidi w:val="0"/>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磋商小组构成：</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人，其中采购人代表1人，专家评委</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人；</w:t>
            </w:r>
          </w:p>
          <w:p w14:paraId="445A74D0">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专家确定方式：磋商前从河南省政府采购专家库中随机抽取。</w:t>
            </w:r>
          </w:p>
        </w:tc>
      </w:tr>
      <w:tr w14:paraId="56C0C8DB">
        <w:tblPrEx>
          <w:tblCellMar>
            <w:top w:w="0" w:type="dxa"/>
            <w:left w:w="108" w:type="dxa"/>
            <w:bottom w:w="0" w:type="dxa"/>
            <w:right w:w="108" w:type="dxa"/>
          </w:tblCellMar>
        </w:tblPrEx>
        <w:trPr>
          <w:trHeight w:val="735" w:hRule="atLeast"/>
        </w:trPr>
        <w:tc>
          <w:tcPr>
            <w:tcW w:w="1100" w:type="dxa"/>
            <w:tcBorders>
              <w:top w:val="single" w:color="auto" w:sz="4" w:space="0"/>
              <w:left w:val="single" w:color="auto" w:sz="4" w:space="0"/>
              <w:bottom w:val="single" w:color="auto" w:sz="4" w:space="0"/>
              <w:right w:val="single" w:color="auto" w:sz="4" w:space="0"/>
            </w:tcBorders>
            <w:vAlign w:val="center"/>
          </w:tcPr>
          <w:p w14:paraId="2855CDA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724" w:type="dxa"/>
            <w:tcBorders>
              <w:top w:val="single" w:color="auto" w:sz="4" w:space="0"/>
              <w:left w:val="single" w:color="auto" w:sz="4" w:space="0"/>
              <w:bottom w:val="single" w:color="auto" w:sz="4" w:space="0"/>
              <w:right w:val="single" w:color="auto" w:sz="4" w:space="0"/>
            </w:tcBorders>
            <w:vAlign w:val="center"/>
          </w:tcPr>
          <w:p w14:paraId="5C7D4FC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是否授权磋商小组确定成交人</w:t>
            </w:r>
          </w:p>
        </w:tc>
        <w:tc>
          <w:tcPr>
            <w:tcW w:w="6046" w:type="dxa"/>
            <w:tcBorders>
              <w:top w:val="single" w:color="auto" w:sz="4" w:space="0"/>
              <w:left w:val="single" w:color="auto" w:sz="4" w:space="0"/>
              <w:bottom w:val="single" w:color="auto" w:sz="4" w:space="0"/>
              <w:right w:val="single" w:color="auto" w:sz="4" w:space="0"/>
            </w:tcBorders>
            <w:vAlign w:val="center"/>
          </w:tcPr>
          <w:p w14:paraId="45AE571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否；推荐的成交候选人数：3名</w:t>
            </w:r>
          </w:p>
        </w:tc>
      </w:tr>
      <w:tr w14:paraId="02489685">
        <w:tblPrEx>
          <w:tblCellMar>
            <w:top w:w="0" w:type="dxa"/>
            <w:left w:w="108" w:type="dxa"/>
            <w:bottom w:w="0" w:type="dxa"/>
            <w:right w:w="108" w:type="dxa"/>
          </w:tblCellMar>
        </w:tblPrEx>
        <w:trPr>
          <w:trHeight w:val="538" w:hRule="atLeast"/>
        </w:trPr>
        <w:tc>
          <w:tcPr>
            <w:tcW w:w="8870" w:type="dxa"/>
            <w:gridSpan w:val="3"/>
            <w:tcBorders>
              <w:top w:val="single" w:color="auto" w:sz="4" w:space="0"/>
              <w:left w:val="single" w:color="auto" w:sz="4" w:space="0"/>
              <w:bottom w:val="single" w:color="auto" w:sz="4" w:space="0"/>
              <w:right w:val="single" w:color="auto" w:sz="4" w:space="0"/>
            </w:tcBorders>
            <w:vAlign w:val="center"/>
          </w:tcPr>
          <w:p w14:paraId="4A8C744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4F7217A4">
        <w:tblPrEx>
          <w:tblCellMar>
            <w:top w:w="0" w:type="dxa"/>
            <w:left w:w="108" w:type="dxa"/>
            <w:bottom w:w="0" w:type="dxa"/>
            <w:right w:w="108" w:type="dxa"/>
          </w:tblCellMar>
        </w:tblPrEx>
        <w:trPr>
          <w:trHeight w:val="560" w:hRule="atLeast"/>
        </w:trPr>
        <w:tc>
          <w:tcPr>
            <w:tcW w:w="1100" w:type="dxa"/>
            <w:tcBorders>
              <w:top w:val="single" w:color="auto" w:sz="4" w:space="0"/>
              <w:left w:val="single" w:color="auto" w:sz="4" w:space="0"/>
              <w:bottom w:val="single" w:color="auto" w:sz="4" w:space="0"/>
              <w:right w:val="single" w:color="auto" w:sz="4" w:space="0"/>
            </w:tcBorders>
            <w:vAlign w:val="center"/>
          </w:tcPr>
          <w:p w14:paraId="6F9A7C1B">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bookmarkStart w:id="51" w:name="_Toc152042305"/>
            <w:bookmarkStart w:id="52" w:name="_Toc144974497"/>
            <w:bookmarkStart w:id="53" w:name="_Toc152045529"/>
            <w:r>
              <w:rPr>
                <w:rFonts w:hint="eastAsia" w:ascii="宋体" w:hAnsi="宋体" w:eastAsia="宋体" w:cs="宋体"/>
                <w:color w:val="auto"/>
                <w:sz w:val="21"/>
                <w:szCs w:val="21"/>
                <w:highlight w:val="none"/>
              </w:rPr>
              <w:t>解释权</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23E3F7A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构成本磋商文件的各个组成文件应互为解释，互为说明；如有不明确或不一致，按磋商公告、</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22C5ABA">
        <w:tblPrEx>
          <w:tblCellMar>
            <w:top w:w="0" w:type="dxa"/>
            <w:left w:w="108" w:type="dxa"/>
            <w:bottom w:w="0" w:type="dxa"/>
            <w:right w:w="108" w:type="dxa"/>
          </w:tblCellMar>
        </w:tblPrEx>
        <w:trPr>
          <w:trHeight w:val="800" w:hRule="atLeast"/>
        </w:trPr>
        <w:tc>
          <w:tcPr>
            <w:tcW w:w="1100" w:type="dxa"/>
            <w:tcBorders>
              <w:top w:val="single" w:color="auto" w:sz="4" w:space="0"/>
              <w:left w:val="single" w:color="auto" w:sz="4" w:space="0"/>
              <w:bottom w:val="single" w:color="auto" w:sz="4" w:space="0"/>
              <w:right w:val="single" w:color="auto" w:sz="4" w:space="0"/>
            </w:tcBorders>
            <w:vAlign w:val="center"/>
          </w:tcPr>
          <w:p w14:paraId="51D5EC73">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代理服务费</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2DDDFB2E">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
              </w:rPr>
              <w:t>按照《河南省招标代理服务收费指导意见》（豫招标【2023】002号）收费标准的70%向中标人收取。</w:t>
            </w:r>
          </w:p>
        </w:tc>
      </w:tr>
      <w:tr w14:paraId="48C99447">
        <w:tblPrEx>
          <w:tblCellMar>
            <w:top w:w="0" w:type="dxa"/>
            <w:left w:w="108" w:type="dxa"/>
            <w:bottom w:w="0" w:type="dxa"/>
            <w:right w:w="108" w:type="dxa"/>
          </w:tblCellMar>
        </w:tblPrEx>
        <w:trPr>
          <w:trHeight w:val="800" w:hRule="atLeast"/>
        </w:trPr>
        <w:tc>
          <w:tcPr>
            <w:tcW w:w="1100" w:type="dxa"/>
            <w:tcBorders>
              <w:top w:val="single" w:color="auto" w:sz="4" w:space="0"/>
              <w:left w:val="single" w:color="auto" w:sz="4" w:space="0"/>
              <w:bottom w:val="single" w:color="auto" w:sz="4" w:space="0"/>
              <w:right w:val="single" w:color="auto" w:sz="4" w:space="0"/>
            </w:tcBorders>
            <w:vAlign w:val="center"/>
          </w:tcPr>
          <w:p w14:paraId="33126326">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kern w:val="1"/>
                <w:sz w:val="21"/>
                <w:szCs w:val="21"/>
                <w:highlight w:val="none"/>
                <w:lang w:eastAsia="zh-CN"/>
              </w:rPr>
            </w:pPr>
            <w:r>
              <w:rPr>
                <w:rFonts w:hint="eastAsia" w:ascii="宋体" w:hAnsi="宋体" w:cs="宋体"/>
                <w:color w:val="auto"/>
                <w:kern w:val="1"/>
                <w:sz w:val="21"/>
                <w:szCs w:val="21"/>
                <w:highlight w:val="none"/>
                <w:lang w:eastAsia="zh-CN"/>
              </w:rPr>
              <w:t>其他</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47B50782">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Cs w:val="21"/>
                <w:highlight w:val="none"/>
                <w:lang w:eastAsia="zh-CN"/>
                <w:woUserID w:val="1"/>
              </w:rPr>
            </w:pPr>
            <w:r>
              <w:rPr>
                <w:rFonts w:hint="eastAsia" w:ascii="宋体" w:hAnsi="宋体" w:eastAsia="宋体" w:cs="宋体"/>
                <w:color w:val="auto"/>
                <w:szCs w:val="21"/>
                <w:highlight w:val="none"/>
                <w:lang w:eastAsia="zh"/>
              </w:rPr>
              <w:t>本项目一次配施工图纸另附</w:t>
            </w:r>
            <w:r>
              <w:rPr>
                <w:rFonts w:hint="eastAsia" w:ascii="宋体" w:hAnsi="宋体" w:eastAsia="宋体" w:cs="宋体"/>
                <w:color w:val="auto"/>
                <w:szCs w:val="21"/>
                <w:highlight w:val="none"/>
                <w:lang w:eastAsia="zh"/>
                <w:woUserID w:val="1"/>
              </w:rPr>
              <w:t>,各供应商在交易中心</w:t>
            </w:r>
            <w:r>
              <w:rPr>
                <w:rFonts w:hint="eastAsia" w:ascii="宋体" w:hAnsi="宋体" w:eastAsia="宋体" w:cs="宋体"/>
                <w:color w:val="auto"/>
                <w:szCs w:val="21"/>
                <w:highlight w:val="none"/>
                <w:lang w:eastAsia="zh"/>
              </w:rPr>
              <w:t>系统内</w:t>
            </w:r>
            <w:r>
              <w:rPr>
                <w:rFonts w:hint="eastAsia" w:ascii="宋体" w:hAnsi="宋体" w:cs="宋体"/>
                <w:color w:val="auto"/>
                <w:szCs w:val="21"/>
                <w:highlight w:val="none"/>
                <w:lang w:eastAsia="zh-CN"/>
              </w:rPr>
              <w:t>“其他附件”中</w:t>
            </w:r>
            <w:r>
              <w:rPr>
                <w:rFonts w:hint="eastAsia" w:ascii="宋体" w:hAnsi="宋体" w:eastAsia="宋体" w:cs="宋体"/>
                <w:color w:val="auto"/>
                <w:szCs w:val="21"/>
                <w:highlight w:val="none"/>
                <w:lang w:eastAsia="zh"/>
              </w:rPr>
              <w:t>另行下载</w:t>
            </w:r>
            <w:r>
              <w:rPr>
                <w:rFonts w:hint="eastAsia" w:ascii="宋体" w:hAnsi="宋体" w:eastAsia="宋体" w:cs="宋体"/>
                <w:color w:val="auto"/>
                <w:szCs w:val="21"/>
                <w:highlight w:val="none"/>
                <w:lang w:eastAsia="zh"/>
                <w:woUserID w:val="1"/>
              </w:rPr>
              <w:t>。</w:t>
            </w:r>
          </w:p>
        </w:tc>
      </w:tr>
      <w:tr w14:paraId="7E34557E">
        <w:tblPrEx>
          <w:tblCellMar>
            <w:top w:w="0" w:type="dxa"/>
            <w:left w:w="108" w:type="dxa"/>
            <w:bottom w:w="0" w:type="dxa"/>
            <w:right w:w="108" w:type="dxa"/>
          </w:tblCellMar>
        </w:tblPrEx>
        <w:trPr>
          <w:trHeight w:val="800" w:hRule="atLeast"/>
        </w:trPr>
        <w:tc>
          <w:tcPr>
            <w:tcW w:w="1100" w:type="dxa"/>
            <w:tcBorders>
              <w:top w:val="single" w:color="auto" w:sz="4" w:space="0"/>
              <w:left w:val="single" w:color="auto" w:sz="4" w:space="0"/>
              <w:bottom w:val="single" w:color="auto" w:sz="4" w:space="0"/>
              <w:right w:val="single" w:color="auto" w:sz="4" w:space="0"/>
            </w:tcBorders>
            <w:vAlign w:val="center"/>
          </w:tcPr>
          <w:p w14:paraId="0BB8A6D0">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最高限价</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0F5A7E5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left"/>
              <w:textAlignment w:val="baseline"/>
              <w:rPr>
                <w:rFonts w:hint="eastAsia" w:ascii="宋体" w:hAnsi="宋体" w:cs="宋体"/>
                <w:color w:val="auto"/>
                <w:sz w:val="21"/>
                <w:szCs w:val="21"/>
                <w:highlight w:val="none"/>
                <w:lang w:val="en-US" w:eastAsia="zh"/>
                <w:woUserID w:val="3"/>
              </w:rPr>
            </w:pPr>
            <w:r>
              <w:rPr>
                <w:rFonts w:hint="eastAsia" w:ascii="宋体" w:hAnsi="宋体" w:cs="宋体"/>
                <w:color w:val="auto"/>
                <w:sz w:val="21"/>
                <w:szCs w:val="21"/>
                <w:highlight w:val="none"/>
                <w:lang w:val="en-US" w:eastAsia="zh"/>
                <w:woUserID w:val="3"/>
              </w:rPr>
              <w:t>本项目最高限价：620万元人民币，供应商各轮次总报价均不能超过最高限价，否则其磋商响应文件按无效处理。</w:t>
            </w:r>
          </w:p>
          <w:p w14:paraId="1A46B0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eastAsia="宋体" w:cs="宋体"/>
                <w:b/>
                <w:bCs/>
                <w:color w:val="auto"/>
                <w:kern w:val="2"/>
                <w:sz w:val="21"/>
                <w:szCs w:val="21"/>
                <w:highlight w:val="none"/>
                <w:woUserID w:val="1"/>
              </w:rPr>
            </w:pPr>
            <w:r>
              <w:rPr>
                <w:rFonts w:hint="eastAsia" w:ascii="宋体" w:hAnsi="宋体" w:cs="宋体"/>
                <w:b/>
                <w:bCs/>
                <w:color w:val="auto"/>
                <w:sz w:val="21"/>
                <w:szCs w:val="21"/>
                <w:highlight w:val="none"/>
                <w:lang w:eastAsia="zh"/>
                <w:woUserID w:val="3"/>
              </w:rPr>
              <w:t>注：</w:t>
            </w: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评审中出现下列情形之一的，</w:t>
            </w:r>
            <w:r>
              <w:rPr>
                <w:rFonts w:hint="eastAsia" w:ascii="宋体" w:hAnsi="宋体" w:eastAsia="宋体" w:cs="宋体"/>
                <w:b/>
                <w:bCs/>
                <w:i w:val="0"/>
                <w:iCs w:val="0"/>
                <w:caps w:val="0"/>
                <w:color w:val="auto"/>
                <w:spacing w:val="0"/>
                <w:kern w:val="0"/>
                <w:sz w:val="21"/>
                <w:szCs w:val="21"/>
                <w:highlight w:val="none"/>
                <w:shd w:val="clear" w:fill="FFFFFF"/>
                <w:lang w:val="en-US" w:eastAsia="zh" w:bidi="ar"/>
                <w:woUserID w:val="1"/>
              </w:rPr>
              <w:t>磋商小组</w:t>
            </w: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应当启动异常低价投标（响应）审查程序：</w:t>
            </w:r>
          </w:p>
          <w:p w14:paraId="76BE5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eastAsia="宋体" w:cs="宋体"/>
                <w:b/>
                <w:bCs/>
                <w:color w:val="auto"/>
                <w:kern w:val="2"/>
                <w:sz w:val="21"/>
                <w:szCs w:val="21"/>
                <w:highlight w:val="none"/>
                <w:woUserID w:val="1"/>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1.投标（响应）报价低于全部通过符合性审查供应商投标（响应）报价平均值</w:t>
            </w: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65</w:t>
            </w: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%的，即投标（响应）报价&lt;全部通过符合性审查供应商投标（响应）报价平均值×</w:t>
            </w: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65</w:t>
            </w: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w:t>
            </w:r>
          </w:p>
          <w:p w14:paraId="0DABB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eastAsia="宋体" w:cs="宋体"/>
                <w:b/>
                <w:bCs/>
                <w:color w:val="auto"/>
                <w:kern w:val="2"/>
                <w:sz w:val="21"/>
                <w:szCs w:val="21"/>
                <w:highlight w:val="none"/>
                <w:woUserID w:val="1"/>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2.投标（响应）报价低于通过符合性审查的次低报价供应商投标（响应）报价</w:t>
            </w: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65</w:t>
            </w: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%的，即投标（响应）报价&lt;通过符合性审查的次低报价供应商投标（响应）报价×</w:t>
            </w: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65</w:t>
            </w: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w:t>
            </w:r>
          </w:p>
          <w:p w14:paraId="404E30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eastAsia="宋体" w:cs="宋体"/>
                <w:b/>
                <w:bCs/>
                <w:color w:val="auto"/>
                <w:kern w:val="2"/>
                <w:sz w:val="21"/>
                <w:szCs w:val="21"/>
                <w:highlight w:val="none"/>
                <w:woUserID w:val="1"/>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3.投标（响应）报价低于采购项目最高限价</w:t>
            </w: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65</w:t>
            </w: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%的，即投标（响应）报价&lt;采购项目最高限价×</w:t>
            </w: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65</w:t>
            </w: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w:t>
            </w:r>
          </w:p>
          <w:p w14:paraId="6B1D5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4.</w:t>
            </w:r>
            <w:r>
              <w:rPr>
                <w:rFonts w:hint="eastAsia" w:ascii="宋体" w:hAnsi="宋体" w:eastAsia="宋体" w:cs="宋体"/>
                <w:b/>
                <w:bCs/>
                <w:i w:val="0"/>
                <w:iCs w:val="0"/>
                <w:caps w:val="0"/>
                <w:color w:val="auto"/>
                <w:spacing w:val="0"/>
                <w:kern w:val="0"/>
                <w:sz w:val="21"/>
                <w:szCs w:val="21"/>
                <w:highlight w:val="none"/>
                <w:shd w:val="clear" w:fill="FFFFFF"/>
                <w:lang w:val="en-US" w:eastAsia="zh" w:bidi="ar"/>
                <w:woUserID w:val="1"/>
              </w:rPr>
              <w:t>磋商小组</w:t>
            </w:r>
            <w:r>
              <w:rPr>
                <w:rFonts w:hint="eastAsia" w:ascii="宋体" w:hAnsi="宋体" w:eastAsia="宋体" w:cs="宋体"/>
                <w:b/>
                <w:bCs/>
                <w:i w:val="0"/>
                <w:iCs w:val="0"/>
                <w:caps w:val="0"/>
                <w:color w:val="auto"/>
                <w:spacing w:val="0"/>
                <w:kern w:val="0"/>
                <w:sz w:val="21"/>
                <w:szCs w:val="21"/>
                <w:highlight w:val="none"/>
                <w:shd w:val="clear" w:fill="FFFFFF"/>
                <w:lang w:val="en-US" w:eastAsia="zh-CN" w:bidi="ar"/>
                <w:woUserID w:val="1"/>
              </w:rPr>
              <w:t>基于专业判断，认为供应商报价过低，有可能影响产品质量或者不能诚信履约的其他情形。</w:t>
            </w:r>
          </w:p>
          <w:p w14:paraId="4C45D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cs="宋体"/>
                <w:b/>
                <w:bCs/>
                <w:i w:val="0"/>
                <w:iCs w:val="0"/>
                <w:caps w:val="0"/>
                <w:color w:val="auto"/>
                <w:spacing w:val="0"/>
                <w:kern w:val="0"/>
                <w:sz w:val="21"/>
                <w:szCs w:val="21"/>
                <w:highlight w:val="none"/>
                <w:shd w:val="clear" w:fill="FFFFFF"/>
                <w:lang w:val="en-US" w:eastAsia="zh" w:bidi="ar"/>
                <w:woUserID w:val="1"/>
              </w:rPr>
            </w:pP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磋商小组启动异常低价投标（响应）审查后，属于前述第1项至第4项情形的，请相关供应商在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2F24F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cs="宋体"/>
                <w:b/>
                <w:bCs/>
                <w:i w:val="0"/>
                <w:iCs w:val="0"/>
                <w:caps w:val="0"/>
                <w:color w:val="auto"/>
                <w:spacing w:val="0"/>
                <w:kern w:val="0"/>
                <w:sz w:val="21"/>
                <w:szCs w:val="21"/>
                <w:highlight w:val="none"/>
                <w:shd w:val="clear" w:fill="FFFFFF"/>
                <w:lang w:val="en-US" w:eastAsia="zh" w:bidi="ar"/>
                <w:woUserID w:val="1"/>
              </w:rPr>
            </w:pP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投标（响应）供应商不能提供书面说明、证明材料，或者提供的书面说明、证明材料不能证明其报价合理性的，评审委员会应当将其作为无效投标（响应）处理。</w:t>
            </w:r>
          </w:p>
          <w:p w14:paraId="413C6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cs="宋体"/>
                <w:b/>
                <w:bCs/>
                <w:i w:val="0"/>
                <w:iCs w:val="0"/>
                <w:caps w:val="0"/>
                <w:color w:val="auto"/>
                <w:spacing w:val="0"/>
                <w:kern w:val="0"/>
                <w:sz w:val="21"/>
                <w:szCs w:val="21"/>
                <w:highlight w:val="none"/>
                <w:shd w:val="clear" w:fill="FFFFFF"/>
                <w:lang w:val="en-US" w:eastAsia="zh" w:bidi="ar"/>
                <w:woUserID w:val="1"/>
              </w:rPr>
            </w:pP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异常低价投标（响应）审查的启动原因、审查意见和审查结果应当在评审报告中记录。</w:t>
            </w:r>
          </w:p>
        </w:tc>
      </w:tr>
      <w:tr w14:paraId="4F94AF8F">
        <w:tblPrEx>
          <w:tblCellMar>
            <w:top w:w="0" w:type="dxa"/>
            <w:left w:w="108" w:type="dxa"/>
            <w:bottom w:w="0" w:type="dxa"/>
            <w:right w:w="108" w:type="dxa"/>
          </w:tblCellMar>
        </w:tblPrEx>
        <w:trPr>
          <w:trHeight w:val="800" w:hRule="atLeast"/>
        </w:trPr>
        <w:tc>
          <w:tcPr>
            <w:tcW w:w="1100" w:type="dxa"/>
            <w:tcBorders>
              <w:top w:val="single" w:color="auto" w:sz="4" w:space="0"/>
              <w:left w:val="single" w:color="auto" w:sz="4" w:space="0"/>
              <w:bottom w:val="single" w:color="auto" w:sz="4" w:space="0"/>
              <w:right w:val="single" w:color="auto" w:sz="4" w:space="0"/>
            </w:tcBorders>
            <w:vAlign w:val="center"/>
          </w:tcPr>
          <w:p w14:paraId="42029862">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6C2A0FFB">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lang w:eastAsia="zh"/>
                <w:woUserID w:val="3"/>
              </w:rPr>
            </w:pPr>
            <w:r>
              <w:rPr>
                <w:rFonts w:hint="eastAsia" w:ascii="宋体" w:hAnsi="宋体" w:cs="宋体"/>
                <w:color w:val="auto"/>
                <w:szCs w:val="21"/>
                <w:highlight w:val="none"/>
                <w:lang w:eastAsia="zh"/>
              </w:rPr>
              <w:t>①合同签订后5个工作日内，由承包人向发包人提交履约保函；发包人收到履约保函后向承包人支付预付款30万元，待施工图纸确认后支付至合同金额的30%。</w:t>
            </w:r>
          </w:p>
          <w:p w14:paraId="6EBB62D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
              </w:rPr>
            </w:pPr>
            <w:r>
              <w:rPr>
                <w:rFonts w:hint="eastAsia" w:ascii="宋体" w:hAnsi="宋体" w:cs="宋体"/>
                <w:color w:val="auto"/>
                <w:szCs w:val="21"/>
                <w:highlight w:val="none"/>
                <w:lang w:eastAsia="zh"/>
              </w:rPr>
              <w:t>②</w:t>
            </w:r>
            <w:r>
              <w:rPr>
                <w:rFonts w:hint="eastAsia" w:ascii="宋体" w:hAnsi="宋体" w:cs="宋体"/>
                <w:color w:val="auto"/>
                <w:szCs w:val="21"/>
                <w:highlight w:val="none"/>
              </w:rPr>
              <w:t>竣工验收</w:t>
            </w:r>
            <w:r>
              <w:rPr>
                <w:rFonts w:hint="eastAsia" w:ascii="宋体" w:hAnsi="宋体" w:cs="宋体"/>
                <w:color w:val="auto"/>
                <w:szCs w:val="21"/>
                <w:highlight w:val="none"/>
                <w:lang w:eastAsia="zh"/>
                <w:woUserID w:val="3"/>
              </w:rPr>
              <w:t>合格后，</w:t>
            </w:r>
            <w:r>
              <w:rPr>
                <w:rFonts w:hint="eastAsia" w:ascii="宋体" w:hAnsi="宋体" w:cs="宋体"/>
                <w:color w:val="auto"/>
                <w:szCs w:val="21"/>
                <w:highlight w:val="none"/>
              </w:rPr>
              <w:t>支付</w:t>
            </w:r>
            <w:r>
              <w:rPr>
                <w:rFonts w:hint="eastAsia" w:ascii="宋体" w:hAnsi="宋体" w:cs="宋体"/>
                <w:color w:val="auto"/>
                <w:szCs w:val="21"/>
                <w:highlight w:val="none"/>
                <w:lang w:eastAsia="zh"/>
                <w:woUserID w:val="3"/>
              </w:rPr>
              <w:t>至</w:t>
            </w:r>
            <w:r>
              <w:rPr>
                <w:rFonts w:hint="eastAsia" w:ascii="宋体" w:hAnsi="宋体" w:cs="宋体"/>
                <w:color w:val="auto"/>
                <w:szCs w:val="21"/>
                <w:highlight w:val="none"/>
              </w:rPr>
              <w:t>合同</w:t>
            </w:r>
            <w:r>
              <w:rPr>
                <w:rFonts w:hint="eastAsia" w:ascii="宋体" w:hAnsi="宋体" w:cs="宋体"/>
                <w:color w:val="auto"/>
                <w:szCs w:val="21"/>
                <w:highlight w:val="none"/>
                <w:lang w:eastAsia="zh"/>
                <w:woUserID w:val="3"/>
              </w:rPr>
              <w:t>金额的</w:t>
            </w:r>
            <w:r>
              <w:rPr>
                <w:rFonts w:hint="eastAsia" w:ascii="宋体" w:hAnsi="宋体" w:cs="宋体"/>
                <w:color w:val="auto"/>
                <w:szCs w:val="21"/>
                <w:highlight w:val="none"/>
              </w:rPr>
              <w:t>75%，</w:t>
            </w:r>
            <w:r>
              <w:rPr>
                <w:rFonts w:hint="eastAsia" w:ascii="宋体" w:hAnsi="宋体" w:cs="宋体"/>
                <w:color w:val="auto"/>
                <w:szCs w:val="21"/>
                <w:highlight w:val="none"/>
                <w:woUserID w:val="2"/>
              </w:rPr>
              <w:t>工程结算</w:t>
            </w:r>
            <w:r>
              <w:rPr>
                <w:rFonts w:hint="eastAsia" w:ascii="宋体" w:hAnsi="宋体" w:cs="宋体"/>
                <w:color w:val="auto"/>
                <w:szCs w:val="21"/>
                <w:highlight w:val="none"/>
                <w:lang w:eastAsia="zh"/>
                <w:woUserID w:val="2"/>
              </w:rPr>
              <w:t>经第三方造价咨询机构审核后</w:t>
            </w:r>
            <w:r>
              <w:rPr>
                <w:rFonts w:hint="eastAsia" w:ascii="宋体" w:hAnsi="宋体" w:cs="宋体"/>
                <w:color w:val="auto"/>
                <w:szCs w:val="21"/>
                <w:highlight w:val="none"/>
                <w:woUserID w:val="2"/>
              </w:rPr>
              <w:t>支付</w:t>
            </w:r>
            <w:r>
              <w:rPr>
                <w:rFonts w:hint="eastAsia" w:ascii="宋体" w:hAnsi="宋体" w:cs="宋体"/>
                <w:color w:val="auto"/>
                <w:szCs w:val="21"/>
                <w:highlight w:val="none"/>
                <w:lang w:eastAsia="zh"/>
                <w:woUserID w:val="2"/>
              </w:rPr>
              <w:t>至结算</w:t>
            </w:r>
            <w:r>
              <w:rPr>
                <w:rFonts w:hint="eastAsia" w:ascii="宋体" w:hAnsi="宋体" w:cs="宋体"/>
                <w:color w:val="auto"/>
                <w:szCs w:val="21"/>
                <w:highlight w:val="none"/>
                <w:woUserID w:val="2"/>
              </w:rPr>
              <w:t>评审金额</w:t>
            </w:r>
            <w:r>
              <w:rPr>
                <w:rFonts w:hint="eastAsia" w:ascii="宋体" w:hAnsi="宋体" w:cs="宋体"/>
                <w:color w:val="auto"/>
                <w:szCs w:val="21"/>
                <w:highlight w:val="none"/>
                <w:lang w:eastAsia="zh"/>
                <w:woUserID w:val="2"/>
              </w:rPr>
              <w:t>的</w:t>
            </w:r>
            <w:r>
              <w:rPr>
                <w:rFonts w:hint="eastAsia" w:ascii="宋体" w:hAnsi="宋体" w:cs="宋体"/>
                <w:color w:val="auto"/>
                <w:szCs w:val="21"/>
                <w:highlight w:val="none"/>
                <w:woUserID w:val="2"/>
              </w:rPr>
              <w:t>97%</w:t>
            </w:r>
            <w:r>
              <w:rPr>
                <w:rFonts w:hint="eastAsia" w:ascii="宋体" w:hAnsi="宋体" w:cs="宋体"/>
                <w:color w:val="auto"/>
                <w:szCs w:val="21"/>
                <w:highlight w:val="none"/>
              </w:rPr>
              <w:t>，预留3%作为质保金，待工程交付使用缺陷责任期满后（无质量及其他经济法律纠纷）一次性无息支付给承包人，每次付款前，承包人需提供等额的增值税专用发票</w:t>
            </w:r>
            <w:r>
              <w:rPr>
                <w:rFonts w:hint="eastAsia" w:ascii="宋体" w:hAnsi="宋体" w:eastAsia="宋体" w:cs="宋体"/>
                <w:color w:val="auto"/>
                <w:szCs w:val="21"/>
                <w:highlight w:val="none"/>
              </w:rPr>
              <w:t>。</w:t>
            </w:r>
          </w:p>
          <w:p w14:paraId="2216E0E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cs="宋体"/>
                <w:b/>
                <w:bCs/>
                <w:color w:val="auto"/>
                <w:szCs w:val="21"/>
                <w:highlight w:val="none"/>
              </w:rPr>
              <w:t>注：因发包人单位性质，需要按照国家、省级项目资金支付规定执行，承包人应对此清楚知晓，如因以上原因导致无法按时支付款项的，承包人承诺不追究发包人违约责任。</w:t>
            </w:r>
          </w:p>
        </w:tc>
      </w:tr>
      <w:tr w14:paraId="2F4C00F2">
        <w:tblPrEx>
          <w:tblCellMar>
            <w:top w:w="0" w:type="dxa"/>
            <w:left w:w="108" w:type="dxa"/>
            <w:bottom w:w="0" w:type="dxa"/>
            <w:right w:w="108" w:type="dxa"/>
          </w:tblCellMar>
        </w:tblPrEx>
        <w:trPr>
          <w:trHeight w:val="90" w:hRule="atLeast"/>
        </w:trPr>
        <w:tc>
          <w:tcPr>
            <w:tcW w:w="1100" w:type="dxa"/>
            <w:tcBorders>
              <w:top w:val="single" w:color="auto" w:sz="4" w:space="0"/>
              <w:left w:val="single" w:color="auto" w:sz="4" w:space="0"/>
              <w:bottom w:val="single" w:color="auto" w:sz="4" w:space="0"/>
              <w:right w:val="single" w:color="auto" w:sz="4" w:space="0"/>
            </w:tcBorders>
            <w:vAlign w:val="center"/>
          </w:tcPr>
          <w:p w14:paraId="436ACB94">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w:t>
            </w:r>
            <w:r>
              <w:rPr>
                <w:rFonts w:hint="eastAsia" w:ascii="宋体" w:hAnsi="宋体" w:eastAsia="宋体" w:cs="宋体"/>
                <w:color w:val="auto"/>
                <w:sz w:val="21"/>
                <w:szCs w:val="21"/>
                <w:highlight w:val="none"/>
                <w:lang w:val="en-US" w:eastAsia="zh-CN"/>
              </w:rPr>
              <w:t>保证金</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4ADE7ED1">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履约担保的形式：现金或银行保函（见索即付）</w:t>
            </w:r>
          </w:p>
          <w:p w14:paraId="1A2CE51A">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履约担保的金额：中标价的</w:t>
            </w:r>
            <w:r>
              <w:rPr>
                <w:rFonts w:hint="eastAsia" w:ascii="宋体" w:hAnsi="宋体" w:cs="宋体"/>
                <w:color w:val="auto"/>
                <w:szCs w:val="21"/>
                <w:highlight w:val="none"/>
                <w:lang w:eastAsia="zh"/>
              </w:rPr>
              <w:t>10</w:t>
            </w:r>
            <w:r>
              <w:rPr>
                <w:rFonts w:hint="eastAsia" w:ascii="宋体" w:hAnsi="宋体" w:cs="宋体"/>
                <w:color w:val="auto"/>
                <w:szCs w:val="21"/>
                <w:highlight w:val="none"/>
              </w:rPr>
              <w:t xml:space="preserve">%  </w:t>
            </w:r>
          </w:p>
          <w:p w14:paraId="5BCD8351">
            <w:pPr>
              <w:keepNext w:val="0"/>
              <w:keepLines w:val="0"/>
              <w:pageBreakBefore w:val="0"/>
              <w:widowControl w:val="0"/>
              <w:suppressLineNumbers w:val="0"/>
              <w:kinsoku/>
              <w:wordWrap/>
              <w:overflowPunct/>
              <w:bidi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eastAsia="zh"/>
              </w:rPr>
              <w:t>履约担保期限：竣工验收合格后15个工作日内退还</w:t>
            </w:r>
          </w:p>
        </w:tc>
      </w:tr>
      <w:tr w14:paraId="1C5C421C">
        <w:tblPrEx>
          <w:tblCellMar>
            <w:top w:w="0" w:type="dxa"/>
            <w:left w:w="108" w:type="dxa"/>
            <w:bottom w:w="0" w:type="dxa"/>
            <w:right w:w="108" w:type="dxa"/>
          </w:tblCellMar>
        </w:tblPrEx>
        <w:trPr>
          <w:trHeight w:val="800" w:hRule="atLeast"/>
        </w:trPr>
        <w:tc>
          <w:tcPr>
            <w:tcW w:w="1100" w:type="dxa"/>
            <w:tcBorders>
              <w:top w:val="single" w:color="auto" w:sz="4" w:space="0"/>
              <w:left w:val="single" w:color="auto" w:sz="4" w:space="0"/>
              <w:bottom w:val="single" w:color="auto" w:sz="4" w:space="0"/>
              <w:right w:val="single" w:color="auto" w:sz="4" w:space="0"/>
            </w:tcBorders>
            <w:vAlign w:val="center"/>
          </w:tcPr>
          <w:p w14:paraId="574B74D7">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小微企业扶持政策</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646B5FD2">
            <w:pPr>
              <w:keepNext w:val="0"/>
              <w:keepLines w:val="0"/>
              <w:suppressLineNumbers w:val="0"/>
              <w:spacing w:before="0" w:beforeAutospacing="0" w:after="0" w:afterAutospacing="0" w:line="360" w:lineRule="auto"/>
              <w:ind w:left="0" w:right="0"/>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根据《关于印发政府采购促进中小企业发展管理办法的通知》（财库〔2020〕46号）、《财政部关于进一步加大政府采购支持中小企业力度的通知》（财库〔2022〕19号）和《河南省财政厅关于进一步做好政府采购支持中小企业发展有关事项的通知》（豫财购〔2022〕5号）的规定，对于非专门面向小型、微型企业预留采购份额的采购项目或者采购包，对小型和微型企业产品的价格给予扣除，用扣除后的价格参与评审，小型、微型企业与大企业的负责人为同一人，或者与大企业存在直接控股、管理关系的除外。监狱企业视同小型、微型企业，残疾人福利性单位视同小型、微型企业，小微企业产品和监狱企业产品及残疾人福利性单位产品只给予一次价格扣除，不重复给予价格扣除。</w:t>
            </w:r>
            <w:r>
              <w:rPr>
                <w:rFonts w:hint="eastAsia" w:ascii="宋体" w:hAnsi="宋体" w:eastAsia="宋体" w:cs="宋体"/>
                <w:b/>
                <w:bCs/>
                <w:color w:val="auto"/>
                <w:highlight w:val="none"/>
              </w:rPr>
              <w:t>本项目小微扣除比例为</w:t>
            </w: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rPr>
              <w:t>%，本次采购标的对应的中小企业划分标准所属行业为</w:t>
            </w:r>
            <w:r>
              <w:rPr>
                <w:rFonts w:hint="eastAsia" w:ascii="宋体" w:hAnsi="宋体" w:eastAsia="宋体" w:cs="宋体"/>
                <w:b/>
                <w:bCs/>
                <w:color w:val="auto"/>
                <w:highlight w:val="none"/>
                <w:lang w:val="en-US" w:eastAsia="zh-CN"/>
              </w:rPr>
              <w:t>建筑业</w:t>
            </w:r>
            <w:r>
              <w:rPr>
                <w:rFonts w:hint="eastAsia" w:ascii="宋体" w:hAnsi="宋体" w:eastAsia="宋体" w:cs="宋体"/>
                <w:b/>
                <w:bCs/>
                <w:color w:val="auto"/>
                <w:highlight w:val="none"/>
              </w:rPr>
              <w:t>。</w:t>
            </w:r>
          </w:p>
          <w:p w14:paraId="409245D9">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2、小微企业的认定标准按《中小企业划型标准规定》工信部联企业〔2011〕300号文件执行，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应提供《小微企业声明函》等有效证明材料。监狱企业视同小型、微型企业，</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提供省级及以上监狱管理局、戒毒管理局（含新疆生产建设兵团）出具的属于监狱企业的证明文件。残疾人福利性单位视同小型、微型企业，残疾人福利性单位须符合《财政部民政部中国残疾人联合会关于促进残疾人就业政府采购政策的通知》（财库〔2017〕141号）要求，提供《残疾人福利性单位声明函》，提供的《残疾人福利性单位声明函》与事实不符的，依照《政府采购法》第七十七条第一款的规定追究法律责任。</w:t>
            </w:r>
          </w:p>
        </w:tc>
      </w:tr>
      <w:tr w14:paraId="7FC557A9">
        <w:tblPrEx>
          <w:tblCellMar>
            <w:top w:w="0" w:type="dxa"/>
            <w:left w:w="108" w:type="dxa"/>
            <w:bottom w:w="0" w:type="dxa"/>
            <w:right w:w="108" w:type="dxa"/>
          </w:tblCellMar>
        </w:tblPrEx>
        <w:trPr>
          <w:trHeight w:val="800" w:hRule="atLeast"/>
        </w:trPr>
        <w:tc>
          <w:tcPr>
            <w:tcW w:w="1100" w:type="dxa"/>
            <w:tcBorders>
              <w:top w:val="single" w:color="auto" w:sz="4" w:space="0"/>
              <w:left w:val="single" w:color="auto" w:sz="4" w:space="0"/>
              <w:bottom w:val="single" w:color="auto" w:sz="4" w:space="0"/>
              <w:right w:val="single" w:color="auto" w:sz="4" w:space="0"/>
            </w:tcBorders>
            <w:vAlign w:val="center"/>
          </w:tcPr>
          <w:p w14:paraId="609446D7">
            <w:pPr>
              <w:keepNext w:val="0"/>
              <w:keepLines w:val="0"/>
              <w:pageBreakBefore w:val="0"/>
              <w:widowControl w:val="0"/>
              <w:suppressLineNumbers w:val="0"/>
              <w:kinsoku/>
              <w:wordWrap/>
              <w:overflowPunct/>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质疑的提出与接收</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5F2D042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zh-TW" w:eastAsia="zh-CN"/>
              </w:rPr>
              <w:t>供应商</w:t>
            </w:r>
            <w:r>
              <w:rPr>
                <w:rFonts w:hint="eastAsia" w:ascii="宋体" w:hAnsi="宋体" w:eastAsia="宋体" w:cs="宋体"/>
                <w:color w:val="auto"/>
                <w:sz w:val="21"/>
                <w:szCs w:val="21"/>
                <w:highlight w:val="none"/>
                <w:lang w:val="zh-TW" w:eastAsia="zh-TW"/>
              </w:rPr>
              <w:t>认为自己的权益受到损害的，可以在知道或者应该知道其权益受到损害之日起七个工作日内，向采购代理机构提出质疑。</w:t>
            </w:r>
          </w:p>
          <w:p w14:paraId="4CCC12D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eastAsia="zh-TW"/>
              </w:rPr>
              <w:t>质疑函的内容、格式：应符合《政府采购质疑和投诉办法》相关规定和财政部门制定的《政府采购质疑函范本》格式。</w:t>
            </w:r>
          </w:p>
          <w:p w14:paraId="1CDEE76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textAlignment w:val="baseline"/>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zh-TW" w:eastAsia="zh-CN"/>
              </w:rPr>
              <w:t>供应商</w:t>
            </w:r>
            <w:r>
              <w:rPr>
                <w:rFonts w:hint="eastAsia" w:ascii="宋体" w:hAnsi="宋体" w:eastAsia="宋体" w:cs="宋体"/>
                <w:color w:val="auto"/>
                <w:sz w:val="21"/>
                <w:szCs w:val="21"/>
                <w:highlight w:val="none"/>
                <w:lang w:val="zh-TW" w:eastAsia="zh-TW"/>
              </w:rPr>
              <w:t>应在法定质疑期内一次性针对同一采购程序环节提出质疑，否则针对再次提出质疑将不予接收。（采购程序环节分为：采购公告、采购文件、采购过程、成交结果）</w:t>
            </w:r>
          </w:p>
          <w:p w14:paraId="704D476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textAlignment w:val="baseline"/>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TW" w:eastAsia="zh-TW"/>
              </w:rPr>
              <w:t>接收质疑函的方式：接收加盖单位公章、法定的代表人签字（或加盖个人印章）的书面质疑函。</w:t>
            </w:r>
          </w:p>
        </w:tc>
      </w:tr>
      <w:tr w14:paraId="4BF388D7">
        <w:tblPrEx>
          <w:tblCellMar>
            <w:top w:w="0" w:type="dxa"/>
            <w:left w:w="108" w:type="dxa"/>
            <w:bottom w:w="0" w:type="dxa"/>
            <w:right w:w="108" w:type="dxa"/>
          </w:tblCellMar>
        </w:tblPrEx>
        <w:trPr>
          <w:trHeight w:val="800" w:hRule="atLeast"/>
        </w:trPr>
        <w:tc>
          <w:tcPr>
            <w:tcW w:w="1100" w:type="dxa"/>
            <w:tcBorders>
              <w:top w:val="single" w:color="auto" w:sz="4" w:space="0"/>
              <w:left w:val="single" w:color="auto" w:sz="4" w:space="0"/>
              <w:bottom w:val="single" w:color="auto" w:sz="4" w:space="0"/>
              <w:right w:val="single" w:color="auto" w:sz="4" w:space="0"/>
            </w:tcBorders>
            <w:vAlign w:val="center"/>
          </w:tcPr>
          <w:p w14:paraId="3309253B">
            <w:pPr>
              <w:keepNext w:val="0"/>
              <w:keepLines w:val="0"/>
              <w:pageBreakBefore w:val="0"/>
              <w:widowControl w:val="0"/>
              <w:suppressLineNumbers w:val="0"/>
              <w:kinsoku/>
              <w:wordWrap/>
              <w:overflowPunct/>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263D2743">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rPr>
              <w:t>根据财库【2016】125号文的要求，代理机构将查询</w:t>
            </w:r>
            <w:r>
              <w:rPr>
                <w:rFonts w:hint="eastAsia" w:ascii="宋体" w:hAnsi="宋体" w:cs="宋体"/>
                <w:color w:val="auto"/>
                <w:sz w:val="21"/>
                <w:szCs w:val="21"/>
                <w:highlight w:val="none"/>
                <w:lang w:val="zh-TW" w:eastAsia="zh-CN"/>
              </w:rPr>
              <w:t>供应商</w:t>
            </w:r>
            <w:r>
              <w:rPr>
                <w:rFonts w:hint="eastAsia" w:ascii="宋体" w:hAnsi="宋体" w:eastAsia="宋体" w:cs="宋体"/>
                <w:color w:val="auto"/>
                <w:sz w:val="21"/>
                <w:szCs w:val="21"/>
                <w:highlight w:val="none"/>
                <w:lang w:val="zh-TW"/>
              </w:rPr>
              <w:t>信用记录。</w:t>
            </w:r>
          </w:p>
          <w:p w14:paraId="1ABBD015">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信用信息查询渠道：信用中国网站（www.creditchina.gov.cn）、中国政府采购网（http://www.ccgp.gov.cn)。</w:t>
            </w:r>
          </w:p>
        </w:tc>
      </w:tr>
      <w:tr w14:paraId="0022FBCA">
        <w:tblPrEx>
          <w:tblCellMar>
            <w:top w:w="0" w:type="dxa"/>
            <w:left w:w="108" w:type="dxa"/>
            <w:bottom w:w="0" w:type="dxa"/>
            <w:right w:w="108" w:type="dxa"/>
          </w:tblCellMar>
        </w:tblPrEx>
        <w:trPr>
          <w:trHeight w:val="800" w:hRule="atLeast"/>
        </w:trPr>
        <w:tc>
          <w:tcPr>
            <w:tcW w:w="1100" w:type="dxa"/>
            <w:tcBorders>
              <w:top w:val="single" w:color="auto" w:sz="4" w:space="0"/>
              <w:left w:val="single" w:color="auto" w:sz="4" w:space="0"/>
              <w:bottom w:val="single" w:color="auto" w:sz="4" w:space="0"/>
              <w:right w:val="single" w:color="auto" w:sz="4" w:space="0"/>
            </w:tcBorders>
            <w:vAlign w:val="center"/>
          </w:tcPr>
          <w:p w14:paraId="626B89D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河南省政府采购合同融资政策告知函</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73402CA6">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政府采购合同融资是河南省财政厅支持中小微企业发展，针对参与政府采购活动的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融资难、融资贵问题推出的一项融资政策。贵公司若成为本次政府采购项目的中标成交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，可持政府采购合同向金融机构申请贷款，无需抵押、担保，融资机构将根据《河南省政府采购合同融资工作实施方案》（豫财购〔2017〕10号），按照双方自愿的原则提供便捷、优惠的贷款服务。</w:t>
            </w:r>
          </w:p>
          <w:p w14:paraId="1975D262">
            <w:pPr>
              <w:keepNext w:val="0"/>
              <w:keepLines w:val="0"/>
              <w:pageBreakBefore w:val="0"/>
              <w:widowControl w:val="0"/>
              <w:suppressLineNumbers w:val="0"/>
              <w:kinsoku/>
              <w:wordWrap/>
              <w:overflowPunct/>
              <w:bidi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贷款渠道和提供贷款的金融机构，可登录—河南省政府采购网—河南省政府采购合同融资平台，可以查询联系。</w:t>
            </w:r>
          </w:p>
        </w:tc>
      </w:tr>
      <w:tr w14:paraId="40409178">
        <w:tblPrEx>
          <w:tblCellMar>
            <w:top w:w="0" w:type="dxa"/>
            <w:left w:w="108" w:type="dxa"/>
            <w:bottom w:w="0" w:type="dxa"/>
            <w:right w:w="108" w:type="dxa"/>
          </w:tblCellMar>
        </w:tblPrEx>
        <w:trPr>
          <w:trHeight w:val="800" w:hRule="atLeast"/>
        </w:trPr>
        <w:tc>
          <w:tcPr>
            <w:tcW w:w="1100" w:type="dxa"/>
            <w:tcBorders>
              <w:top w:val="single" w:color="auto" w:sz="4" w:space="0"/>
              <w:left w:val="single" w:color="auto" w:sz="4" w:space="0"/>
              <w:bottom w:val="single" w:color="auto" w:sz="4" w:space="0"/>
              <w:right w:val="single" w:color="auto" w:sz="4" w:space="0"/>
            </w:tcBorders>
            <w:vAlign w:val="center"/>
          </w:tcPr>
          <w:p w14:paraId="28991454">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cs="宋体"/>
                <w:color w:val="auto"/>
                <w:szCs w:val="21"/>
                <w:highlight w:val="none"/>
                <w:lang w:val="zh-TW"/>
              </w:rPr>
              <w:t>最终解释权</w:t>
            </w:r>
          </w:p>
        </w:tc>
        <w:tc>
          <w:tcPr>
            <w:tcW w:w="7770" w:type="dxa"/>
            <w:gridSpan w:val="2"/>
            <w:tcBorders>
              <w:top w:val="single" w:color="auto" w:sz="4" w:space="0"/>
              <w:left w:val="single" w:color="auto" w:sz="4" w:space="0"/>
              <w:bottom w:val="single" w:color="auto" w:sz="4" w:space="0"/>
              <w:right w:val="single" w:color="auto" w:sz="4" w:space="0"/>
            </w:tcBorders>
            <w:vAlign w:val="center"/>
          </w:tcPr>
          <w:p w14:paraId="5AA83DE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lang w:val="zh-TW"/>
              </w:rPr>
              <w:t>本项目竞争性磋商文件最终解释权归采购人所有。</w:t>
            </w:r>
          </w:p>
        </w:tc>
      </w:tr>
    </w:tbl>
    <w:p w14:paraId="24CDB89C">
      <w:pPr>
        <w:pStyle w:val="46"/>
        <w:spacing w:line="360" w:lineRule="auto"/>
        <w:outlineLvl w:val="0"/>
        <w:rPr>
          <w:rFonts w:ascii="宋体" w:hAnsi="宋体"/>
          <w:color w:val="auto"/>
          <w:sz w:val="21"/>
          <w:szCs w:val="21"/>
          <w:highlight w:val="none"/>
        </w:rPr>
      </w:pPr>
      <w:r>
        <w:rPr>
          <w:rFonts w:hint="eastAsia" w:ascii="宋体" w:hAnsi="宋体"/>
          <w:color w:val="auto"/>
          <w:highlight w:val="none"/>
        </w:rPr>
        <w:br w:type="page"/>
      </w:r>
      <w:bookmarkStart w:id="54" w:name="_Toc466298091"/>
      <w:bookmarkStart w:id="55" w:name="_Toc455080108"/>
      <w:bookmarkStart w:id="56" w:name="_Toc3364"/>
      <w:bookmarkStart w:id="57" w:name="_Toc3621"/>
      <w:bookmarkStart w:id="58" w:name="_Toc12350"/>
      <w:r>
        <w:rPr>
          <w:rFonts w:hint="eastAsia" w:ascii="宋体" w:hAnsi="宋体"/>
          <w:b/>
          <w:bCs/>
          <w:color w:val="auto"/>
          <w:szCs w:val="28"/>
          <w:highlight w:val="none"/>
        </w:rPr>
        <w:t>1.总则</w:t>
      </w:r>
      <w:bookmarkEnd w:id="51"/>
      <w:bookmarkEnd w:id="52"/>
      <w:bookmarkEnd w:id="53"/>
      <w:bookmarkEnd w:id="54"/>
      <w:bookmarkEnd w:id="55"/>
      <w:bookmarkEnd w:id="56"/>
      <w:bookmarkEnd w:id="57"/>
      <w:bookmarkEnd w:id="58"/>
    </w:p>
    <w:p w14:paraId="4AC4B6C3">
      <w:pPr>
        <w:spacing w:line="360" w:lineRule="auto"/>
        <w:outlineLvl w:val="1"/>
        <w:rPr>
          <w:rFonts w:ascii="宋体" w:hAnsi="宋体" w:cs="宋体"/>
          <w:b/>
          <w:bCs/>
          <w:color w:val="auto"/>
          <w:highlight w:val="none"/>
        </w:rPr>
      </w:pPr>
      <w:bookmarkStart w:id="59" w:name="_Toc658"/>
      <w:bookmarkStart w:id="60" w:name="_Toc20827"/>
      <w:bookmarkStart w:id="61" w:name="_Toc10273"/>
      <w:bookmarkStart w:id="62" w:name="_Toc490667828"/>
      <w:bookmarkStart w:id="63" w:name="_Toc1172"/>
      <w:bookmarkStart w:id="64" w:name="_Toc281380952"/>
      <w:bookmarkStart w:id="65" w:name="_Toc6747"/>
      <w:bookmarkStart w:id="66" w:name="_Toc455867769"/>
      <w:bookmarkStart w:id="67" w:name="_Toc455080109"/>
      <w:bookmarkStart w:id="68" w:name="_Toc466298092"/>
      <w:bookmarkStart w:id="69" w:name="_Toc15709"/>
      <w:bookmarkStart w:id="70" w:name="_Toc29023"/>
      <w:bookmarkStart w:id="71" w:name="_Toc318450675"/>
      <w:bookmarkStart w:id="72" w:name="_Toc21458"/>
      <w:bookmarkStart w:id="73" w:name="_Toc31404"/>
      <w:bookmarkStart w:id="74" w:name="_Toc274409866"/>
      <w:bookmarkStart w:id="75" w:name="_Toc144974499"/>
      <w:bookmarkStart w:id="76" w:name="_Toc152045531"/>
      <w:bookmarkStart w:id="77" w:name="_Toc152042307"/>
      <w:r>
        <w:rPr>
          <w:rFonts w:hint="eastAsia" w:ascii="宋体" w:hAnsi="宋体" w:cs="宋体"/>
          <w:b/>
          <w:bCs/>
          <w:color w:val="auto"/>
          <w:highlight w:val="none"/>
        </w:rPr>
        <w:t>1.1 适用范围</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2A11A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1.1.1根据《中华人民共和国政府采购法》、</w:t>
      </w:r>
      <w:r>
        <w:rPr>
          <w:rFonts w:hint="eastAsia" w:hAnsi="宋体"/>
          <w:color w:val="auto"/>
          <w:szCs w:val="21"/>
          <w:highlight w:val="none"/>
        </w:rPr>
        <w:t>《中华人民共和国政府采购法实施条例》</w:t>
      </w:r>
      <w:r>
        <w:rPr>
          <w:rFonts w:hint="eastAsia" w:ascii="宋体" w:hAnsi="宋体" w:cs="宋体"/>
          <w:color w:val="auto"/>
          <w:szCs w:val="21"/>
          <w:highlight w:val="none"/>
        </w:rPr>
        <w:t>等有关法律、法规和规章的规定，编制本项目磋商文件。</w:t>
      </w:r>
    </w:p>
    <w:p w14:paraId="251DA25B">
      <w:pPr>
        <w:spacing w:line="360" w:lineRule="auto"/>
        <w:outlineLvl w:val="1"/>
        <w:rPr>
          <w:rFonts w:ascii="宋体" w:hAnsi="宋体" w:cs="宋体"/>
          <w:b/>
          <w:bCs/>
          <w:color w:val="auto"/>
          <w:highlight w:val="none"/>
        </w:rPr>
      </w:pPr>
      <w:bookmarkStart w:id="78" w:name="_Toc274409867"/>
      <w:bookmarkStart w:id="79" w:name="_Toc25773"/>
      <w:bookmarkStart w:id="80" w:name="_Toc30891"/>
      <w:bookmarkStart w:id="81" w:name="_Toc281405468"/>
      <w:bookmarkStart w:id="82" w:name="_Toc32619"/>
      <w:bookmarkStart w:id="83" w:name="_Toc710"/>
      <w:bookmarkStart w:id="84" w:name="_Toc10556"/>
      <w:bookmarkStart w:id="85" w:name="_Toc455080110"/>
      <w:bookmarkStart w:id="86" w:name="_Toc10269"/>
      <w:bookmarkStart w:id="87" w:name="_Toc466298093"/>
      <w:bookmarkStart w:id="88" w:name="_Toc7237"/>
      <w:bookmarkStart w:id="89" w:name="_Toc455867770"/>
      <w:bookmarkStart w:id="90" w:name="_Toc3336"/>
      <w:bookmarkStart w:id="91" w:name="_Toc490667829"/>
      <w:bookmarkStart w:id="92" w:name="_Toc318450676"/>
      <w:bookmarkStart w:id="93" w:name="_Toc2929"/>
      <w:r>
        <w:rPr>
          <w:rFonts w:hint="eastAsia" w:ascii="宋体" w:hAnsi="宋体" w:cs="宋体"/>
          <w:b/>
          <w:bCs/>
          <w:color w:val="auto"/>
          <w:highlight w:val="none"/>
        </w:rPr>
        <w:t>1.2 采购项目说明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9018C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本项目采购人：见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062BAB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本项目采购代理机构：见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582DA1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 本项目</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名称：见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51B74E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 本项目资金来源：见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2C1780FC">
      <w:pPr>
        <w:spacing w:line="360" w:lineRule="auto"/>
        <w:outlineLvl w:val="1"/>
        <w:rPr>
          <w:rFonts w:ascii="宋体" w:hAnsi="宋体" w:cs="宋体"/>
          <w:b/>
          <w:bCs/>
          <w:color w:val="auto"/>
          <w:highlight w:val="none"/>
        </w:rPr>
      </w:pPr>
      <w:bookmarkStart w:id="94" w:name="_Toc17146"/>
      <w:bookmarkStart w:id="95" w:name="_Toc455867771"/>
      <w:bookmarkStart w:id="96" w:name="_Toc274409868"/>
      <w:bookmarkStart w:id="97" w:name="_Toc318450677"/>
      <w:bookmarkStart w:id="98" w:name="_Toc455080111"/>
      <w:bookmarkStart w:id="99" w:name="_Toc18960"/>
      <w:bookmarkStart w:id="100" w:name="_Toc22979"/>
      <w:bookmarkStart w:id="101" w:name="_Toc4122"/>
      <w:bookmarkStart w:id="102" w:name="_Toc3477"/>
      <w:bookmarkStart w:id="103" w:name="_Toc281405469"/>
      <w:bookmarkStart w:id="104" w:name="_Toc490667830"/>
      <w:bookmarkStart w:id="105" w:name="_Toc466298094"/>
      <w:bookmarkStart w:id="106" w:name="_Toc17016"/>
      <w:bookmarkStart w:id="107" w:name="_Toc4952"/>
      <w:bookmarkStart w:id="108" w:name="_Toc1373"/>
      <w:bookmarkStart w:id="109" w:name="_Toc16931"/>
      <w:r>
        <w:rPr>
          <w:rFonts w:hint="eastAsia" w:ascii="宋体" w:hAnsi="宋体" w:cs="宋体"/>
          <w:b/>
          <w:bCs/>
          <w:color w:val="auto"/>
          <w:highlight w:val="none"/>
        </w:rPr>
        <w:t>1.3 定义及解释</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3E09D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1.3.1采购人：依法进行政府采购的国家机关、事业单位、团体组织。</w:t>
      </w:r>
    </w:p>
    <w:p w14:paraId="1B8B77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1.3.2采购代理机构：受采购人委托组织</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活动的社会中介组织。</w:t>
      </w:r>
    </w:p>
    <w:p w14:paraId="385CA3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1.3.3服务：系指根据本磋商文件规定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须承担的服务以及其他类似的义务等。</w:t>
      </w:r>
    </w:p>
    <w:p w14:paraId="381F64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是响应磋商文件、参加磋商竞争的中华人民共和国境内的法人、其它组织</w:t>
      </w:r>
      <w:r>
        <w:rPr>
          <w:rFonts w:hint="eastAsia" w:ascii="宋体" w:hAnsi="宋体" w:cs="宋体"/>
          <w:color w:val="auto"/>
          <w:szCs w:val="21"/>
          <w:highlight w:val="none"/>
          <w:lang w:val="en-US" w:eastAsia="zh-CN"/>
        </w:rPr>
        <w:t>或者自然人</w:t>
      </w:r>
      <w:r>
        <w:rPr>
          <w:rFonts w:hint="eastAsia" w:ascii="宋体" w:hAnsi="宋体" w:cs="宋体"/>
          <w:color w:val="auto"/>
          <w:szCs w:val="21"/>
          <w:highlight w:val="none"/>
        </w:rPr>
        <w:t>。</w:t>
      </w:r>
    </w:p>
    <w:p w14:paraId="0C68C5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1.3.5响应文件：指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根据磋商文件提交的所有文件。</w:t>
      </w:r>
    </w:p>
    <w:p w14:paraId="0308B7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1.3.6磋商小组：依据</w:t>
      </w:r>
      <w:r>
        <w:rPr>
          <w:rFonts w:hint="eastAsia" w:ascii="宋体" w:hAnsi="宋体" w:cs="宋体"/>
          <w:color w:val="auto"/>
          <w:szCs w:val="21"/>
          <w:highlight w:val="none"/>
          <w:lang w:bidi="en-US"/>
        </w:rPr>
        <w:t>《中华人民共和国政府采购法》及有关法律、法规的规定依法组建的专门负责本次评标工作的临时机构</w:t>
      </w:r>
      <w:r>
        <w:rPr>
          <w:rFonts w:hint="eastAsia" w:ascii="宋体" w:hAnsi="宋体" w:cs="宋体"/>
          <w:color w:val="auto"/>
          <w:szCs w:val="21"/>
          <w:highlight w:val="none"/>
        </w:rPr>
        <w:t>。</w:t>
      </w:r>
    </w:p>
    <w:p w14:paraId="16A780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1.3.7偏差：响应文件的响应相对于磋商文件要求的偏差，该偏差优于磋商文件要求的为正偏差；劣于的，为负偏差。</w:t>
      </w:r>
    </w:p>
    <w:p w14:paraId="631D05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1.3.8“日期”或“天”：指日历天。</w:t>
      </w:r>
    </w:p>
    <w:p w14:paraId="533CFF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1.3.9合同：指依据本次采购结果签订的协议或合约文件。</w:t>
      </w:r>
    </w:p>
    <w:p w14:paraId="3C88E0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1.3.10磋商文件中的标题或题名仅起引导作用，而不应视为对磋商文件内容的理解和解释。</w:t>
      </w:r>
    </w:p>
    <w:bookmarkEnd w:id="75"/>
    <w:bookmarkEnd w:id="76"/>
    <w:bookmarkEnd w:id="77"/>
    <w:p w14:paraId="606F7920">
      <w:pPr>
        <w:spacing w:line="360" w:lineRule="auto"/>
        <w:outlineLvl w:val="1"/>
        <w:rPr>
          <w:rFonts w:ascii="宋体" w:hAnsi="宋体" w:cs="宋体"/>
          <w:b/>
          <w:bCs/>
          <w:color w:val="auto"/>
          <w:highlight w:val="none"/>
        </w:rPr>
      </w:pPr>
      <w:bookmarkStart w:id="110" w:name="_Toc14043"/>
      <w:bookmarkStart w:id="111" w:name="_Toc152045532"/>
      <w:bookmarkStart w:id="112" w:name="_Toc490667831"/>
      <w:bookmarkStart w:id="113" w:name="_Toc17808"/>
      <w:bookmarkStart w:id="114" w:name="_Toc455080112"/>
      <w:bookmarkStart w:id="115" w:name="_Toc27407"/>
      <w:bookmarkStart w:id="116" w:name="_Toc21766"/>
      <w:bookmarkStart w:id="117" w:name="_Toc12752"/>
      <w:bookmarkStart w:id="118" w:name="_Toc32236"/>
      <w:bookmarkStart w:id="119" w:name="_Toc152042308"/>
      <w:bookmarkStart w:id="120" w:name="_Toc10894"/>
      <w:bookmarkStart w:id="121" w:name="_Toc144974500"/>
      <w:bookmarkStart w:id="122" w:name="_Toc318450678"/>
      <w:bookmarkStart w:id="123" w:name="_Toc455867772"/>
      <w:bookmarkStart w:id="124" w:name="_Toc19363"/>
      <w:bookmarkStart w:id="125" w:name="_Toc466298095"/>
      <w:bookmarkStart w:id="126" w:name="_Toc16470"/>
      <w:r>
        <w:rPr>
          <w:rFonts w:hint="eastAsia" w:ascii="宋体" w:hAnsi="宋体" w:cs="宋体"/>
          <w:b/>
          <w:bCs/>
          <w:color w:val="auto"/>
          <w:highlight w:val="none"/>
        </w:rPr>
        <w:t>1.4 采购内容及工期和质量要求</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93AA9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1.4.1本次采购范围：见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60A86F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1.4.2本项目的工期：见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30D638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1.4.3本项目的</w:t>
      </w:r>
      <w:r>
        <w:rPr>
          <w:rFonts w:hint="eastAsia" w:ascii="宋体" w:hAnsi="宋体" w:cs="宋体"/>
          <w:color w:val="auto"/>
          <w:szCs w:val="21"/>
          <w:highlight w:val="none"/>
          <w:lang w:eastAsia="zh"/>
          <w:woUserID w:val="3"/>
        </w:rPr>
        <w:t>保修期</w:t>
      </w: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6AC0A897">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1.4.4缺陷责任期：</w:t>
      </w: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0415F6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本项目的质量要求：见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665D3E1F">
      <w:pPr>
        <w:spacing w:line="360" w:lineRule="auto"/>
        <w:outlineLvl w:val="1"/>
        <w:rPr>
          <w:rFonts w:ascii="宋体" w:hAnsi="宋体" w:cs="宋体"/>
          <w:b/>
          <w:bCs/>
          <w:color w:val="auto"/>
          <w:highlight w:val="none"/>
        </w:rPr>
      </w:pPr>
      <w:bookmarkStart w:id="127" w:name="_Toc152045534"/>
      <w:bookmarkStart w:id="128" w:name="_Toc144974502"/>
      <w:bookmarkStart w:id="129" w:name="_Toc152042310"/>
      <w:bookmarkStart w:id="130" w:name="_Toc318450679"/>
      <w:bookmarkStart w:id="131" w:name="_Toc455867773"/>
      <w:bookmarkStart w:id="132" w:name="_Toc490667832"/>
      <w:bookmarkStart w:id="133" w:name="_Toc5019"/>
      <w:bookmarkStart w:id="134" w:name="_Toc18689"/>
      <w:bookmarkStart w:id="135" w:name="_Toc22643"/>
      <w:bookmarkStart w:id="136" w:name="_Toc18004"/>
      <w:bookmarkStart w:id="137" w:name="_Toc32156"/>
      <w:bookmarkStart w:id="138" w:name="_Toc1602"/>
      <w:bookmarkStart w:id="139" w:name="_Toc455080113"/>
      <w:bookmarkStart w:id="140" w:name="_Toc4301"/>
      <w:bookmarkStart w:id="141" w:name="_Toc466298096"/>
      <w:bookmarkStart w:id="142" w:name="_Toc11063"/>
      <w:bookmarkStart w:id="143" w:name="_Toc7209"/>
      <w:r>
        <w:rPr>
          <w:rFonts w:hint="eastAsia" w:ascii="宋体" w:hAnsi="宋体" w:cs="宋体"/>
          <w:b/>
          <w:bCs/>
          <w:color w:val="auto"/>
          <w:highlight w:val="none"/>
        </w:rPr>
        <w:t xml:space="preserve">1.5 </w:t>
      </w:r>
      <w:bookmarkEnd w:id="127"/>
      <w:bookmarkEnd w:id="128"/>
      <w:bookmarkEnd w:id="129"/>
      <w:bookmarkEnd w:id="130"/>
      <w:r>
        <w:rPr>
          <w:rFonts w:hint="eastAsia" w:ascii="宋体" w:hAnsi="宋体" w:cs="宋体"/>
          <w:b/>
          <w:bCs/>
          <w:color w:val="auto"/>
          <w:highlight w:val="none"/>
          <w:lang w:eastAsia="zh-CN"/>
        </w:rPr>
        <w:t>供应商</w:t>
      </w:r>
      <w:r>
        <w:rPr>
          <w:rFonts w:hint="eastAsia" w:ascii="宋体" w:hAnsi="宋体" w:cs="宋体"/>
          <w:b/>
          <w:bCs/>
          <w:color w:val="auto"/>
          <w:highlight w:val="none"/>
        </w:rPr>
        <w:t>资质条件和能力</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5DBAE1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资质及能力要求：见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2AF4E1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1.5.2是否接受联合体：见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48F40B97">
      <w:pPr>
        <w:spacing w:line="360" w:lineRule="auto"/>
        <w:outlineLvl w:val="1"/>
        <w:rPr>
          <w:rFonts w:ascii="宋体" w:hAnsi="宋体" w:cs="宋体"/>
          <w:b/>
          <w:bCs/>
          <w:color w:val="auto"/>
          <w:highlight w:val="none"/>
        </w:rPr>
      </w:pPr>
      <w:bookmarkStart w:id="144" w:name="_Toc455867774"/>
      <w:bookmarkStart w:id="145" w:name="_Toc490667833"/>
      <w:bookmarkStart w:id="146" w:name="_Toc152042311"/>
      <w:bookmarkStart w:id="147" w:name="_Toc144974503"/>
      <w:bookmarkStart w:id="148" w:name="_Toc9505"/>
      <w:bookmarkStart w:id="149" w:name="_Toc12403"/>
      <w:bookmarkStart w:id="150" w:name="_Toc152045535"/>
      <w:bookmarkStart w:id="151" w:name="_Toc318450680"/>
      <w:bookmarkStart w:id="152" w:name="_Toc5162"/>
      <w:bookmarkStart w:id="153" w:name="_Toc466298097"/>
      <w:bookmarkStart w:id="154" w:name="_Toc651"/>
      <w:bookmarkStart w:id="155" w:name="_Toc31854"/>
      <w:bookmarkStart w:id="156" w:name="_Toc981"/>
      <w:bookmarkStart w:id="157" w:name="_Toc455080114"/>
      <w:bookmarkStart w:id="158" w:name="_Toc16889"/>
      <w:bookmarkStart w:id="159" w:name="_Toc28135"/>
      <w:bookmarkStart w:id="160" w:name="_Toc11905"/>
      <w:r>
        <w:rPr>
          <w:rFonts w:hint="eastAsia" w:ascii="宋体" w:hAnsi="宋体" w:cs="宋体"/>
          <w:b/>
          <w:bCs/>
          <w:color w:val="auto"/>
          <w:highlight w:val="none"/>
        </w:rPr>
        <w:t>1.6 费用承担</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1BAC8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准备和参加磋商活动发生的费用自理，不论磋商的结果如何，采购人和采购代理机构在任何情况下均无义务和责任承担这些费用。</w:t>
      </w:r>
    </w:p>
    <w:p w14:paraId="7E5D67D5">
      <w:pPr>
        <w:spacing w:line="360" w:lineRule="auto"/>
        <w:outlineLvl w:val="1"/>
        <w:rPr>
          <w:rFonts w:ascii="宋体" w:hAnsi="宋体" w:cs="宋体"/>
          <w:b/>
          <w:bCs/>
          <w:color w:val="auto"/>
          <w:highlight w:val="none"/>
        </w:rPr>
      </w:pPr>
      <w:bookmarkStart w:id="161" w:name="_Toc455080115"/>
      <w:bookmarkStart w:id="162" w:name="_Toc20145"/>
      <w:bookmarkStart w:id="163" w:name="_Toc2622"/>
      <w:bookmarkStart w:id="164" w:name="_Toc144974504"/>
      <w:bookmarkStart w:id="165" w:name="_Toc455867775"/>
      <w:bookmarkStart w:id="166" w:name="_Toc152045536"/>
      <w:bookmarkStart w:id="167" w:name="_Toc5402"/>
      <w:bookmarkStart w:id="168" w:name="_Toc318450681"/>
      <w:bookmarkStart w:id="169" w:name="_Toc490667834"/>
      <w:bookmarkStart w:id="170" w:name="_Toc466298098"/>
      <w:bookmarkStart w:id="171" w:name="_Toc32053"/>
      <w:bookmarkStart w:id="172" w:name="_Toc6014"/>
      <w:bookmarkStart w:id="173" w:name="_Toc152042312"/>
      <w:bookmarkStart w:id="174" w:name="_Toc1879"/>
      <w:bookmarkStart w:id="175" w:name="_Toc22800"/>
      <w:bookmarkStart w:id="176" w:name="_Toc22136"/>
      <w:bookmarkStart w:id="177" w:name="_Toc8055"/>
      <w:r>
        <w:rPr>
          <w:rFonts w:hint="eastAsia" w:ascii="宋体" w:hAnsi="宋体" w:cs="宋体"/>
          <w:b/>
          <w:bCs/>
          <w:color w:val="auto"/>
          <w:highlight w:val="none"/>
        </w:rPr>
        <w:t>1.7 保密</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6CE68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参与磋商活动的各方应对磋商文件和响应文件中的商业和技术等秘密保密，违者应对由此造成的后果承担法律责任。</w:t>
      </w:r>
    </w:p>
    <w:p w14:paraId="59081699">
      <w:pPr>
        <w:spacing w:line="360" w:lineRule="auto"/>
        <w:outlineLvl w:val="1"/>
        <w:rPr>
          <w:rFonts w:ascii="宋体" w:hAnsi="宋体" w:cs="宋体"/>
          <w:b/>
          <w:bCs/>
          <w:color w:val="auto"/>
          <w:highlight w:val="none"/>
        </w:rPr>
      </w:pPr>
      <w:bookmarkStart w:id="178" w:name="_Toc144974505"/>
      <w:bookmarkStart w:id="179" w:name="_Toc152045537"/>
      <w:bookmarkStart w:id="180" w:name="_Toc318450682"/>
      <w:bookmarkStart w:id="181" w:name="_Toc490667835"/>
      <w:bookmarkStart w:id="182" w:name="_Toc455867776"/>
      <w:bookmarkStart w:id="183" w:name="_Toc466298099"/>
      <w:bookmarkStart w:id="184" w:name="_Toc14775"/>
      <w:bookmarkStart w:id="185" w:name="_Toc6615"/>
      <w:bookmarkStart w:id="186" w:name="_Toc30747"/>
      <w:bookmarkStart w:id="187" w:name="_Toc3628"/>
      <w:bookmarkStart w:id="188" w:name="_Toc455080116"/>
      <w:bookmarkStart w:id="189" w:name="_Toc30583"/>
      <w:bookmarkStart w:id="190" w:name="_Toc21089"/>
      <w:bookmarkStart w:id="191" w:name="_Toc25517"/>
      <w:bookmarkStart w:id="192" w:name="_Toc15673"/>
      <w:bookmarkStart w:id="193" w:name="_Toc7031"/>
      <w:bookmarkStart w:id="194" w:name="_Toc152042313"/>
      <w:r>
        <w:rPr>
          <w:rFonts w:hint="eastAsia" w:ascii="宋体" w:hAnsi="宋体" w:cs="宋体"/>
          <w:b/>
          <w:bCs/>
          <w:color w:val="auto"/>
          <w:highlight w:val="none"/>
        </w:rPr>
        <w:t>1.8 语言</w:t>
      </w:r>
      <w:bookmarkEnd w:id="178"/>
      <w:r>
        <w:rPr>
          <w:rFonts w:hint="eastAsia" w:ascii="宋体" w:hAnsi="宋体" w:cs="宋体"/>
          <w:b/>
          <w:bCs/>
          <w:color w:val="auto"/>
          <w:highlight w:val="none"/>
        </w:rPr>
        <w:t>文字</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7CD98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除专用术语外，与磋商有关的语言均使用中文。必要时专用术语应附有中文注释，</w:t>
      </w:r>
      <w:r>
        <w:rPr>
          <w:rFonts w:hint="eastAsia" w:ascii="宋体" w:hAnsi="宋体" w:cs="宋体"/>
          <w:color w:val="auto"/>
          <w:szCs w:val="21"/>
          <w:highlight w:val="none"/>
          <w:lang w:bidi="en-US"/>
        </w:rPr>
        <w:t>对不同文字文本响应文件的解释发生异议的，以中文文本为准。</w:t>
      </w:r>
    </w:p>
    <w:p w14:paraId="17507D2D">
      <w:pPr>
        <w:spacing w:line="360" w:lineRule="auto"/>
        <w:outlineLvl w:val="1"/>
        <w:rPr>
          <w:rFonts w:ascii="宋体" w:hAnsi="宋体" w:cs="宋体"/>
          <w:b/>
          <w:bCs/>
          <w:color w:val="auto"/>
          <w:highlight w:val="none"/>
        </w:rPr>
      </w:pPr>
      <w:bookmarkStart w:id="195" w:name="_Toc22415"/>
      <w:bookmarkStart w:id="196" w:name="_Toc144974506"/>
      <w:bookmarkStart w:id="197" w:name="_Toc455867777"/>
      <w:bookmarkStart w:id="198" w:name="_Toc4237"/>
      <w:bookmarkStart w:id="199" w:name="_Toc152042314"/>
      <w:bookmarkStart w:id="200" w:name="_Toc32507"/>
      <w:bookmarkStart w:id="201" w:name="_Toc466298100"/>
      <w:bookmarkStart w:id="202" w:name="_Toc318450683"/>
      <w:bookmarkStart w:id="203" w:name="_Toc22378"/>
      <w:bookmarkStart w:id="204" w:name="_Toc152045538"/>
      <w:bookmarkStart w:id="205" w:name="_Toc2702"/>
      <w:bookmarkStart w:id="206" w:name="_Toc24337"/>
      <w:bookmarkStart w:id="207" w:name="_Toc455080117"/>
      <w:bookmarkStart w:id="208" w:name="_Toc4501"/>
      <w:bookmarkStart w:id="209" w:name="_Toc490667836"/>
      <w:bookmarkStart w:id="210" w:name="_Toc9446"/>
      <w:bookmarkStart w:id="211" w:name="_Toc18357"/>
      <w:r>
        <w:rPr>
          <w:rFonts w:hint="eastAsia" w:ascii="宋体" w:hAnsi="宋体" w:cs="宋体"/>
          <w:b/>
          <w:bCs/>
          <w:color w:val="auto"/>
          <w:highlight w:val="none"/>
        </w:rPr>
        <w:t>1.9 计量单位</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5ADBAA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FA760AB">
      <w:pPr>
        <w:spacing w:line="360" w:lineRule="auto"/>
        <w:outlineLvl w:val="1"/>
        <w:rPr>
          <w:rFonts w:ascii="宋体" w:hAnsi="宋体" w:cs="宋体"/>
          <w:b/>
          <w:bCs/>
          <w:color w:val="auto"/>
          <w:highlight w:val="none"/>
        </w:rPr>
      </w:pPr>
      <w:bookmarkStart w:id="212" w:name="_Toc144974508"/>
      <w:bookmarkStart w:id="213" w:name="_Toc19685"/>
      <w:bookmarkStart w:id="214" w:name="_Toc12027"/>
      <w:bookmarkStart w:id="215" w:name="_Toc31195"/>
      <w:bookmarkStart w:id="216" w:name="_Toc490667837"/>
      <w:bookmarkStart w:id="217" w:name="_Toc18589"/>
      <w:bookmarkStart w:id="218" w:name="_Toc318450684"/>
      <w:bookmarkStart w:id="219" w:name="_Toc466298101"/>
      <w:bookmarkStart w:id="220" w:name="_Toc455867778"/>
      <w:bookmarkStart w:id="221" w:name="_Toc27570"/>
      <w:bookmarkStart w:id="222" w:name="_Toc338"/>
      <w:bookmarkStart w:id="223" w:name="_Toc284"/>
      <w:bookmarkStart w:id="224" w:name="_Toc13675"/>
      <w:bookmarkStart w:id="225" w:name="_Toc152042316"/>
      <w:bookmarkStart w:id="226" w:name="_Toc455080118"/>
      <w:bookmarkStart w:id="227" w:name="_Toc2508"/>
      <w:bookmarkStart w:id="228" w:name="_Toc152045540"/>
      <w:r>
        <w:rPr>
          <w:rFonts w:hint="eastAsia" w:ascii="宋体" w:hAnsi="宋体" w:cs="宋体"/>
          <w:b/>
          <w:bCs/>
          <w:color w:val="auto"/>
          <w:highlight w:val="none"/>
        </w:rPr>
        <w:t>1.10 预备会</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C95C6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1.10.1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须知前附表规定召开磋商预备会的，采购人按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须知前附表规定的时间和地点召开磋商预备会，澄清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提出的问题。</w:t>
      </w:r>
    </w:p>
    <w:p w14:paraId="5C76A0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1.10.2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须知前附表规定的时间前，以书面形式将提出的问题送达采购人，以便采购人在会议期间澄清。</w:t>
      </w:r>
    </w:p>
    <w:p w14:paraId="72285C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1.10.3 磋商预备会后，采购人在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须知前附表规定的时间内，将对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所提问题的澄清，</w:t>
      </w:r>
      <w:r>
        <w:rPr>
          <w:rFonts w:hint="eastAsia" w:ascii="宋体" w:hAnsi="宋体" w:cs="宋体"/>
          <w:color w:val="auto"/>
          <w:kern w:val="1"/>
          <w:szCs w:val="21"/>
          <w:highlight w:val="none"/>
        </w:rPr>
        <w:t>通过在《河南省公共资源交易中心网》线上答疑的方式发布相关澄清。该澄清内容为</w:t>
      </w:r>
      <w:r>
        <w:rPr>
          <w:rFonts w:hint="eastAsia" w:ascii="宋体" w:hAnsi="宋体" w:cs="宋体"/>
          <w:color w:val="auto"/>
          <w:kern w:val="1"/>
          <w:szCs w:val="21"/>
          <w:highlight w:val="none"/>
          <w:lang w:eastAsia="zh-CN"/>
        </w:rPr>
        <w:t>采购文件</w:t>
      </w:r>
      <w:r>
        <w:rPr>
          <w:rFonts w:hint="eastAsia" w:ascii="宋体" w:hAnsi="宋体" w:cs="宋体"/>
          <w:color w:val="auto"/>
          <w:kern w:val="1"/>
          <w:szCs w:val="21"/>
          <w:highlight w:val="none"/>
        </w:rPr>
        <w:t>的组成部分。</w:t>
      </w:r>
    </w:p>
    <w:p w14:paraId="499471A8">
      <w:pPr>
        <w:spacing w:line="360" w:lineRule="auto"/>
        <w:outlineLvl w:val="1"/>
        <w:rPr>
          <w:rFonts w:ascii="宋体" w:hAnsi="宋体" w:cs="宋体"/>
          <w:b/>
          <w:bCs/>
          <w:color w:val="auto"/>
          <w:highlight w:val="none"/>
        </w:rPr>
      </w:pPr>
      <w:bookmarkStart w:id="229" w:name="_Toc23678"/>
      <w:bookmarkStart w:id="230" w:name="_Toc152045541"/>
      <w:bookmarkStart w:id="231" w:name="_Toc25208"/>
      <w:bookmarkStart w:id="232" w:name="_Toc24262"/>
      <w:bookmarkStart w:id="233" w:name="_Toc318450685"/>
      <w:bookmarkStart w:id="234" w:name="_Toc31725"/>
      <w:bookmarkStart w:id="235" w:name="_Toc32757"/>
      <w:bookmarkStart w:id="236" w:name="_Toc466298102"/>
      <w:bookmarkStart w:id="237" w:name="_Toc455867779"/>
      <w:bookmarkStart w:id="238" w:name="_Toc3853"/>
      <w:bookmarkStart w:id="239" w:name="_Toc12562"/>
      <w:bookmarkStart w:id="240" w:name="_Toc144974509"/>
      <w:bookmarkStart w:id="241" w:name="_Toc23635"/>
      <w:bookmarkStart w:id="242" w:name="_Toc11744"/>
      <w:bookmarkStart w:id="243" w:name="_Toc455080119"/>
      <w:bookmarkStart w:id="244" w:name="_Toc152042317"/>
      <w:bookmarkStart w:id="245" w:name="_Toc490667838"/>
      <w:r>
        <w:rPr>
          <w:rFonts w:hint="eastAsia" w:ascii="宋体" w:hAnsi="宋体" w:cs="宋体"/>
          <w:b/>
          <w:bCs/>
          <w:color w:val="auto"/>
          <w:highlight w:val="none"/>
        </w:rPr>
        <w:t>1.11分包</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EE0AD72">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20A35F0B">
      <w:pPr>
        <w:spacing w:line="360" w:lineRule="auto"/>
        <w:outlineLvl w:val="1"/>
        <w:rPr>
          <w:rFonts w:ascii="宋体" w:hAnsi="宋体" w:cs="宋体"/>
          <w:b/>
          <w:bCs/>
          <w:color w:val="auto"/>
          <w:highlight w:val="none"/>
        </w:rPr>
      </w:pPr>
      <w:r>
        <w:rPr>
          <w:rFonts w:hint="eastAsia" w:ascii="宋体" w:hAnsi="宋体" w:cs="宋体"/>
          <w:b/>
          <w:bCs/>
          <w:color w:val="auto"/>
          <w:highlight w:val="none"/>
        </w:rPr>
        <w:t>1.12 偏离</w:t>
      </w:r>
    </w:p>
    <w:p w14:paraId="4B3B3732">
      <w:pPr>
        <w:spacing w:line="360" w:lineRule="auto"/>
        <w:ind w:firstLine="567" w:firstLineChars="270"/>
        <w:rPr>
          <w:color w:val="auto"/>
          <w:highlight w:val="none"/>
        </w:rPr>
      </w:pPr>
      <w:bookmarkStart w:id="246" w:name="_Toc235151261"/>
      <w:bookmarkEnd w:id="246"/>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r>
        <w:rPr>
          <w:rFonts w:hint="eastAsia" w:ascii="宋体" w:hAnsi="宋体" w:cs="宋体"/>
          <w:color w:val="auto"/>
          <w:kern w:val="1"/>
          <w:szCs w:val="21"/>
          <w:highlight w:val="none"/>
        </w:rPr>
        <w:t>。</w:t>
      </w:r>
    </w:p>
    <w:p w14:paraId="7DC91729">
      <w:pPr>
        <w:pStyle w:val="46"/>
        <w:spacing w:line="360" w:lineRule="auto"/>
        <w:outlineLvl w:val="0"/>
        <w:rPr>
          <w:rFonts w:ascii="宋体" w:hAnsi="宋体"/>
          <w:b/>
          <w:bCs/>
          <w:color w:val="auto"/>
          <w:szCs w:val="28"/>
          <w:highlight w:val="none"/>
        </w:rPr>
      </w:pPr>
      <w:bookmarkStart w:id="247" w:name="_Toc152045542"/>
      <w:bookmarkStart w:id="248" w:name="_Toc144974510"/>
      <w:bookmarkStart w:id="249" w:name="_Toc152042318"/>
      <w:bookmarkStart w:id="250" w:name="_Toc24864"/>
      <w:bookmarkStart w:id="251" w:name="_Toc455080120"/>
      <w:bookmarkStart w:id="252" w:name="_Toc20380"/>
      <w:bookmarkStart w:id="253" w:name="_Toc15972"/>
      <w:r>
        <w:rPr>
          <w:rFonts w:hint="eastAsia" w:ascii="宋体" w:hAnsi="宋体"/>
          <w:b/>
          <w:bCs/>
          <w:color w:val="auto"/>
          <w:szCs w:val="28"/>
          <w:highlight w:val="none"/>
        </w:rPr>
        <w:t xml:space="preserve">2. </w:t>
      </w:r>
      <w:bookmarkEnd w:id="247"/>
      <w:bookmarkEnd w:id="248"/>
      <w:bookmarkEnd w:id="249"/>
      <w:r>
        <w:rPr>
          <w:rFonts w:hint="eastAsia" w:ascii="宋体" w:hAnsi="宋体"/>
          <w:b/>
          <w:bCs/>
          <w:color w:val="auto"/>
          <w:szCs w:val="28"/>
          <w:highlight w:val="none"/>
        </w:rPr>
        <w:t>磋商文件</w:t>
      </w:r>
      <w:bookmarkEnd w:id="250"/>
      <w:bookmarkEnd w:id="251"/>
      <w:bookmarkEnd w:id="252"/>
      <w:bookmarkEnd w:id="253"/>
    </w:p>
    <w:p w14:paraId="1F39C3C8">
      <w:pPr>
        <w:spacing w:line="360" w:lineRule="auto"/>
        <w:outlineLvl w:val="1"/>
        <w:rPr>
          <w:rFonts w:ascii="宋体" w:hAnsi="宋体" w:cs="宋体"/>
          <w:b/>
          <w:bCs/>
          <w:color w:val="auto"/>
          <w:highlight w:val="none"/>
        </w:rPr>
      </w:pPr>
      <w:bookmarkStart w:id="254" w:name="_Toc12004"/>
      <w:bookmarkStart w:id="255" w:name="_Toc32711"/>
      <w:bookmarkStart w:id="256" w:name="_Toc466298104"/>
      <w:bookmarkStart w:id="257" w:name="_Toc490667840"/>
      <w:bookmarkStart w:id="258" w:name="_Toc11567"/>
      <w:bookmarkStart w:id="259" w:name="_Toc144974511"/>
      <w:bookmarkStart w:id="260" w:name="_Toc11599"/>
      <w:bookmarkStart w:id="261" w:name="_Toc3982"/>
      <w:bookmarkStart w:id="262" w:name="_Toc12640"/>
      <w:bookmarkStart w:id="263" w:name="_Toc455080121"/>
      <w:bookmarkStart w:id="264" w:name="_Toc7999"/>
      <w:bookmarkStart w:id="265" w:name="_Toc152045543"/>
      <w:bookmarkStart w:id="266" w:name="_Toc1008"/>
      <w:bookmarkStart w:id="267" w:name="_Toc9780"/>
      <w:bookmarkStart w:id="268" w:name="_Toc455867781"/>
      <w:bookmarkStart w:id="269" w:name="_Toc152042319"/>
      <w:bookmarkStart w:id="270" w:name="_Toc318450687"/>
      <w:r>
        <w:rPr>
          <w:rFonts w:hint="eastAsia" w:ascii="宋体" w:hAnsi="宋体" w:cs="宋体"/>
          <w:b/>
          <w:bCs/>
          <w:color w:val="auto"/>
          <w:highlight w:val="none"/>
        </w:rPr>
        <w:t>2.1 磋商文件的组成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A8866E9">
      <w:pPr>
        <w:spacing w:line="360" w:lineRule="auto"/>
        <w:rPr>
          <w:rFonts w:ascii="宋体" w:hAnsi="宋体" w:cs="宋体"/>
          <w:color w:val="auto"/>
          <w:szCs w:val="21"/>
          <w:highlight w:val="none"/>
        </w:rPr>
      </w:pPr>
      <w:r>
        <w:rPr>
          <w:rFonts w:hint="eastAsia" w:ascii="宋体" w:hAnsi="宋体" w:cs="宋体"/>
          <w:color w:val="auto"/>
          <w:szCs w:val="21"/>
          <w:highlight w:val="none"/>
        </w:rPr>
        <w:t>　　本磋商文件包括：</w:t>
      </w:r>
    </w:p>
    <w:p w14:paraId="07CEA5D9">
      <w:pPr>
        <w:spacing w:line="360" w:lineRule="auto"/>
        <w:ind w:firstLine="359" w:firstLineChars="171"/>
        <w:rPr>
          <w:rFonts w:ascii="宋体" w:hAnsi="宋体" w:cs="宋体"/>
          <w:color w:val="auto"/>
          <w:szCs w:val="21"/>
          <w:highlight w:val="none"/>
        </w:rPr>
      </w:pPr>
      <w:r>
        <w:rPr>
          <w:rFonts w:hint="eastAsia" w:ascii="宋体" w:hAnsi="宋体" w:cs="宋体"/>
          <w:color w:val="auto"/>
          <w:szCs w:val="21"/>
          <w:highlight w:val="none"/>
        </w:rPr>
        <w:t>（1）竞争性磋商公告；</w:t>
      </w:r>
    </w:p>
    <w:p w14:paraId="73F9FA99">
      <w:pPr>
        <w:spacing w:line="360" w:lineRule="auto"/>
        <w:ind w:firstLine="359" w:firstLineChars="171"/>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p>
    <w:p w14:paraId="15C9B652">
      <w:pPr>
        <w:spacing w:line="360" w:lineRule="auto"/>
        <w:ind w:firstLine="359" w:firstLineChars="171"/>
        <w:rPr>
          <w:rFonts w:ascii="宋体" w:hAnsi="宋体" w:cs="宋体"/>
          <w:color w:val="auto"/>
          <w:szCs w:val="21"/>
          <w:highlight w:val="none"/>
        </w:rPr>
      </w:pPr>
      <w:r>
        <w:rPr>
          <w:rFonts w:hint="eastAsia" w:ascii="宋体" w:hAnsi="宋体" w:cs="宋体"/>
          <w:color w:val="auto"/>
          <w:szCs w:val="21"/>
          <w:highlight w:val="none"/>
        </w:rPr>
        <w:t>（3）评审办法；</w:t>
      </w:r>
    </w:p>
    <w:p w14:paraId="6AF94C13">
      <w:pPr>
        <w:spacing w:line="360" w:lineRule="auto"/>
        <w:ind w:firstLine="359" w:firstLineChars="171"/>
        <w:rPr>
          <w:rFonts w:ascii="宋体" w:hAnsi="宋体" w:cs="宋体"/>
          <w:color w:val="auto"/>
          <w:szCs w:val="21"/>
          <w:highlight w:val="none"/>
        </w:rPr>
      </w:pPr>
      <w:r>
        <w:rPr>
          <w:rFonts w:hint="eastAsia" w:ascii="宋体" w:hAnsi="宋体" w:cs="宋体"/>
          <w:color w:val="auto"/>
          <w:szCs w:val="21"/>
          <w:highlight w:val="none"/>
        </w:rPr>
        <w:t>（4）合同条款及格式；</w:t>
      </w:r>
    </w:p>
    <w:p w14:paraId="506FDD3F">
      <w:pPr>
        <w:spacing w:line="360" w:lineRule="auto"/>
        <w:ind w:firstLine="359" w:firstLineChars="171"/>
        <w:rPr>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）技术标准和要求；</w:t>
      </w:r>
    </w:p>
    <w:p w14:paraId="7328BECF">
      <w:pPr>
        <w:spacing w:line="360" w:lineRule="auto"/>
        <w:ind w:firstLine="359" w:firstLineChars="171"/>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）竞争性磋商响应文件格式；</w:t>
      </w:r>
    </w:p>
    <w:p w14:paraId="138976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根据本章第1.10款、第2.2款和第2.3款对磋商文件所作的澄清、修改，构成磋商文件的组成部分。</w:t>
      </w:r>
    </w:p>
    <w:p w14:paraId="27F10377">
      <w:pPr>
        <w:spacing w:line="360" w:lineRule="auto"/>
        <w:outlineLvl w:val="1"/>
        <w:rPr>
          <w:rFonts w:ascii="宋体" w:hAnsi="宋体" w:cs="宋体"/>
          <w:b/>
          <w:bCs/>
          <w:color w:val="auto"/>
          <w:highlight w:val="none"/>
        </w:rPr>
      </w:pPr>
      <w:bookmarkStart w:id="271" w:name="_Toc4224"/>
      <w:bookmarkStart w:id="272" w:name="_Toc27193"/>
      <w:bookmarkStart w:id="273" w:name="_Toc18661"/>
      <w:bookmarkStart w:id="274" w:name="_Toc13700"/>
      <w:bookmarkStart w:id="275" w:name="_Toc144974512"/>
      <w:bookmarkStart w:id="276" w:name="_Toc318450688"/>
      <w:bookmarkStart w:id="277" w:name="_Toc8943"/>
      <w:bookmarkStart w:id="278" w:name="_Toc490667841"/>
      <w:bookmarkStart w:id="279" w:name="_Toc7939"/>
      <w:bookmarkStart w:id="280" w:name="_Toc455080122"/>
      <w:bookmarkStart w:id="281" w:name="_Toc455867782"/>
      <w:bookmarkStart w:id="282" w:name="_Toc466298105"/>
      <w:bookmarkStart w:id="283" w:name="_Toc15491"/>
      <w:bookmarkStart w:id="284" w:name="_Toc8875"/>
      <w:bookmarkStart w:id="285" w:name="_Toc17296"/>
      <w:bookmarkStart w:id="286" w:name="_Toc152042320"/>
      <w:bookmarkStart w:id="287" w:name="_Toc152045544"/>
      <w:r>
        <w:rPr>
          <w:rFonts w:hint="eastAsia" w:ascii="宋体" w:hAnsi="宋体" w:cs="宋体"/>
          <w:b/>
          <w:bCs/>
          <w:color w:val="auto"/>
          <w:highlight w:val="none"/>
        </w:rPr>
        <w:t>2.2 磋商文件的澄清</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B4F4C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应仔细阅读和检查磋商文件的全部内容。如发现缺页或附件不全，应在递交响应文件5日前在交易平台进行提问，</w:t>
      </w:r>
      <w:r>
        <w:rPr>
          <w:rFonts w:hint="eastAsia" w:ascii="宋体" w:hAnsi="宋体" w:cs="宋体"/>
          <w:color w:val="auto"/>
          <w:kern w:val="1"/>
          <w:szCs w:val="21"/>
          <w:highlight w:val="none"/>
        </w:rPr>
        <w:t>要求采购人对磋商文件予以澄清。</w:t>
      </w:r>
    </w:p>
    <w:p w14:paraId="3450F4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磋商文件的澄清将在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须知前附表规定的提交响应文件截止时间5天前</w:t>
      </w:r>
      <w:r>
        <w:rPr>
          <w:rFonts w:hint="eastAsia" w:ascii="宋体" w:hAnsi="宋体" w:cs="宋体"/>
          <w:color w:val="auto"/>
          <w:kern w:val="1"/>
          <w:szCs w:val="21"/>
          <w:highlight w:val="none"/>
        </w:rPr>
        <w:t>在交易平台上公布给</w:t>
      </w:r>
      <w:r>
        <w:rPr>
          <w:rFonts w:hint="eastAsia" w:ascii="宋体" w:hAnsi="宋体" w:cs="宋体"/>
          <w:color w:val="auto"/>
          <w:kern w:val="1"/>
          <w:szCs w:val="21"/>
          <w:highlight w:val="none"/>
          <w:lang w:eastAsia="zh-CN"/>
        </w:rPr>
        <w:t>供应商</w:t>
      </w:r>
      <w:r>
        <w:rPr>
          <w:rFonts w:hint="eastAsia" w:ascii="宋体" w:hAnsi="宋体" w:cs="宋体"/>
          <w:color w:val="auto"/>
          <w:szCs w:val="21"/>
          <w:highlight w:val="none"/>
        </w:rPr>
        <w:t>，但不指明澄清问题的来源。如果澄清发出的时间距提交响应文件截止时间不足5天，</w:t>
      </w:r>
      <w:r>
        <w:rPr>
          <w:rFonts w:hint="eastAsia" w:ascii="宋体" w:hAnsi="宋体" w:cs="宋体"/>
          <w:color w:val="auto"/>
          <w:szCs w:val="21"/>
          <w:highlight w:val="none"/>
          <w:woUserID w:val="1"/>
        </w:rPr>
        <w:t>澄清或者修改的内容可能影响响应文件编制的</w:t>
      </w:r>
      <w:r>
        <w:rPr>
          <w:rFonts w:hint="eastAsia" w:ascii="宋体" w:hAnsi="宋体" w:cs="宋体"/>
          <w:color w:val="auto"/>
          <w:szCs w:val="21"/>
          <w:highlight w:val="none"/>
          <w:lang w:eastAsia="zh"/>
          <w:woUserID w:val="1"/>
        </w:rPr>
        <w:t>，</w:t>
      </w:r>
      <w:r>
        <w:rPr>
          <w:rFonts w:hint="eastAsia" w:ascii="宋体" w:hAnsi="宋体" w:cs="宋体"/>
          <w:color w:val="auto"/>
          <w:szCs w:val="21"/>
          <w:highlight w:val="none"/>
        </w:rPr>
        <w:t>相应延长提交响应文件截止时间。</w:t>
      </w:r>
    </w:p>
    <w:p w14:paraId="4E1CA9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2.2.3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应及时查看本项目进展情况，若因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未及时查看相关澄清文件内容，造成的后果由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自负。</w:t>
      </w:r>
    </w:p>
    <w:p w14:paraId="16A5F7C4">
      <w:pPr>
        <w:spacing w:line="360" w:lineRule="auto"/>
        <w:outlineLvl w:val="1"/>
        <w:rPr>
          <w:rFonts w:ascii="宋体" w:hAnsi="宋体" w:cs="宋体"/>
          <w:b/>
          <w:bCs/>
          <w:color w:val="auto"/>
          <w:highlight w:val="none"/>
        </w:rPr>
      </w:pPr>
      <w:bookmarkStart w:id="288" w:name="_Toc455867783"/>
      <w:bookmarkStart w:id="289" w:name="_Toc17619"/>
      <w:bookmarkStart w:id="290" w:name="_Toc14966"/>
      <w:bookmarkStart w:id="291" w:name="_Toc30531"/>
      <w:bookmarkStart w:id="292" w:name="_Toc466298106"/>
      <w:bookmarkStart w:id="293" w:name="_Toc455080123"/>
      <w:bookmarkStart w:id="294" w:name="_Toc490667842"/>
      <w:bookmarkStart w:id="295" w:name="_Toc23110"/>
      <w:bookmarkStart w:id="296" w:name="_Toc144974513"/>
      <w:bookmarkStart w:id="297" w:name="_Toc318450689"/>
      <w:bookmarkStart w:id="298" w:name="_Toc13617"/>
      <w:bookmarkStart w:id="299" w:name="_Toc5907"/>
      <w:bookmarkStart w:id="300" w:name="_Toc152042321"/>
      <w:bookmarkStart w:id="301" w:name="_Toc152045545"/>
      <w:bookmarkStart w:id="302" w:name="_Toc19916"/>
      <w:bookmarkStart w:id="303" w:name="_Toc11948"/>
      <w:bookmarkStart w:id="304" w:name="_Toc2131"/>
      <w:r>
        <w:rPr>
          <w:rFonts w:hint="eastAsia" w:ascii="宋体" w:hAnsi="宋体" w:cs="宋体"/>
          <w:b/>
          <w:bCs/>
          <w:color w:val="auto"/>
          <w:highlight w:val="none"/>
        </w:rPr>
        <w:t>2.3 磋商文件的修改</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29E53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 在提交响应文件截止5天前，</w:t>
      </w:r>
      <w:r>
        <w:rPr>
          <w:rFonts w:hint="eastAsia" w:ascii="宋体" w:hAnsi="宋体" w:cs="宋体"/>
          <w:color w:val="auto"/>
          <w:kern w:val="1"/>
          <w:szCs w:val="21"/>
          <w:highlight w:val="none"/>
        </w:rPr>
        <w:t>采购人可以对已发出的采购文件进行的澄清、更正或更改，澄清、更正或更改的内容将作为磋商文件的组成部分，</w:t>
      </w:r>
      <w:r>
        <w:rPr>
          <w:rFonts w:hint="eastAsia" w:ascii="宋体" w:hAnsi="宋体" w:cs="宋体"/>
          <w:color w:val="auto"/>
          <w:szCs w:val="21"/>
          <w:highlight w:val="none"/>
        </w:rPr>
        <w:t>如果修改磋商文件的时间距提交响应文件截止时间不足5天，</w:t>
      </w:r>
      <w:r>
        <w:rPr>
          <w:rFonts w:hint="eastAsia" w:ascii="宋体" w:hAnsi="宋体" w:cs="宋体"/>
          <w:color w:val="auto"/>
          <w:szCs w:val="21"/>
          <w:highlight w:val="none"/>
          <w:woUserID w:val="1"/>
        </w:rPr>
        <w:t>澄清或者修改的内容可能影响响应文件编制的</w:t>
      </w:r>
      <w:r>
        <w:rPr>
          <w:rFonts w:hint="eastAsia" w:ascii="宋体" w:hAnsi="宋体" w:cs="宋体"/>
          <w:color w:val="auto"/>
          <w:szCs w:val="21"/>
          <w:highlight w:val="none"/>
          <w:lang w:eastAsia="zh"/>
          <w:woUserID w:val="1"/>
        </w:rPr>
        <w:t>，</w:t>
      </w:r>
      <w:r>
        <w:rPr>
          <w:rFonts w:hint="eastAsia" w:ascii="宋体" w:hAnsi="宋体" w:cs="宋体"/>
          <w:color w:val="auto"/>
          <w:szCs w:val="21"/>
          <w:highlight w:val="none"/>
        </w:rPr>
        <w:t>相应延长提交响应文件截止时间。</w:t>
      </w:r>
    </w:p>
    <w:p w14:paraId="77FFBF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 澄清或者修改的内容可能影响响应文件编制的，采购人或者采购代理机构应当在</w:t>
      </w:r>
      <w:r>
        <w:rPr>
          <w:rFonts w:hint="eastAsia" w:ascii="宋体" w:hAnsi="宋体" w:cs="宋体"/>
          <w:color w:val="auto"/>
          <w:szCs w:val="21"/>
          <w:highlight w:val="none"/>
          <w:lang w:eastAsia="zh-CN"/>
        </w:rPr>
        <w:t>响应文件提交截止时间</w:t>
      </w:r>
      <w:r>
        <w:rPr>
          <w:rFonts w:hint="eastAsia" w:ascii="宋体" w:hAnsi="宋体" w:cs="宋体"/>
          <w:color w:val="auto"/>
          <w:szCs w:val="21"/>
          <w:highlight w:val="none"/>
        </w:rPr>
        <w:t>至少5天前，上传到“河南省公共资源交易中心网站”，并通知潜在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，潜在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凭企业身份认证锁（CA锁）进行网上下载；不足5天的，采购人或者采购代理机构应当顺延提交响应文件的截止时间。</w:t>
      </w:r>
    </w:p>
    <w:p w14:paraId="12DD364E">
      <w:pPr>
        <w:pStyle w:val="46"/>
        <w:spacing w:line="360" w:lineRule="auto"/>
        <w:outlineLvl w:val="0"/>
        <w:rPr>
          <w:rFonts w:ascii="宋体" w:hAnsi="宋体"/>
          <w:b/>
          <w:bCs/>
          <w:color w:val="auto"/>
          <w:szCs w:val="28"/>
          <w:highlight w:val="none"/>
        </w:rPr>
      </w:pPr>
      <w:bookmarkStart w:id="305" w:name="_Toc152042322"/>
      <w:bookmarkStart w:id="306" w:name="_Toc144974514"/>
      <w:bookmarkStart w:id="307" w:name="_Toc152045546"/>
      <w:bookmarkStart w:id="308" w:name="_Toc16287"/>
      <w:bookmarkStart w:id="309" w:name="_Toc29880"/>
      <w:bookmarkStart w:id="310" w:name="_Toc17618"/>
      <w:bookmarkStart w:id="311" w:name="_Toc455080124"/>
      <w:r>
        <w:rPr>
          <w:rFonts w:hint="eastAsia" w:ascii="宋体" w:hAnsi="宋体"/>
          <w:b/>
          <w:bCs/>
          <w:color w:val="auto"/>
          <w:szCs w:val="28"/>
          <w:highlight w:val="none"/>
        </w:rPr>
        <w:t>3.</w:t>
      </w:r>
      <w:bookmarkEnd w:id="305"/>
      <w:bookmarkEnd w:id="306"/>
      <w:bookmarkEnd w:id="307"/>
      <w:r>
        <w:rPr>
          <w:rFonts w:hint="eastAsia" w:ascii="宋体" w:hAnsi="宋体"/>
          <w:b/>
          <w:bCs/>
          <w:color w:val="auto"/>
          <w:szCs w:val="28"/>
          <w:highlight w:val="none"/>
        </w:rPr>
        <w:t>响应文件</w:t>
      </w:r>
      <w:bookmarkEnd w:id="308"/>
      <w:bookmarkEnd w:id="309"/>
      <w:bookmarkEnd w:id="310"/>
      <w:bookmarkEnd w:id="311"/>
    </w:p>
    <w:p w14:paraId="6140AE9A">
      <w:pPr>
        <w:spacing w:line="360" w:lineRule="auto"/>
        <w:outlineLvl w:val="1"/>
        <w:rPr>
          <w:rFonts w:ascii="宋体" w:hAnsi="宋体" w:cs="宋体"/>
          <w:b/>
          <w:bCs/>
          <w:color w:val="auto"/>
          <w:highlight w:val="none"/>
        </w:rPr>
      </w:pPr>
      <w:bookmarkStart w:id="312" w:name="_Toc318450691"/>
      <w:bookmarkStart w:id="313" w:name="_Toc24440"/>
      <w:bookmarkStart w:id="314" w:name="_Toc152042323"/>
      <w:bookmarkStart w:id="315" w:name="_Toc9273"/>
      <w:bookmarkStart w:id="316" w:name="_Toc152045547"/>
      <w:bookmarkStart w:id="317" w:name="_Toc27373"/>
      <w:bookmarkStart w:id="318" w:name="_Toc16198"/>
      <w:bookmarkStart w:id="319" w:name="_Toc490667844"/>
      <w:bookmarkStart w:id="320" w:name="_Toc144974515"/>
      <w:bookmarkStart w:id="321" w:name="_Toc15810"/>
      <w:r>
        <w:rPr>
          <w:rFonts w:hint="eastAsia" w:ascii="宋体" w:hAnsi="宋体" w:cs="宋体"/>
          <w:b/>
          <w:bCs/>
          <w:color w:val="auto"/>
          <w:highlight w:val="none"/>
        </w:rPr>
        <w:t>3.1 响应文件的组成</w:t>
      </w:r>
      <w:bookmarkEnd w:id="312"/>
      <w:bookmarkEnd w:id="313"/>
      <w:bookmarkEnd w:id="314"/>
      <w:bookmarkEnd w:id="315"/>
      <w:bookmarkEnd w:id="316"/>
      <w:bookmarkEnd w:id="317"/>
      <w:bookmarkEnd w:id="318"/>
      <w:bookmarkEnd w:id="319"/>
      <w:bookmarkEnd w:id="320"/>
      <w:bookmarkEnd w:id="321"/>
    </w:p>
    <w:p w14:paraId="38B9FC0B">
      <w:pPr>
        <w:spacing w:line="360" w:lineRule="auto"/>
        <w:ind w:firstLine="420" w:firstLineChars="200"/>
        <w:rPr>
          <w:rFonts w:ascii="宋体" w:hAnsi="宋体" w:cs="宋体"/>
          <w:color w:val="auto"/>
          <w:szCs w:val="21"/>
          <w:highlight w:val="none"/>
        </w:rPr>
      </w:pPr>
      <w:bookmarkStart w:id="322" w:name="_Toc779"/>
      <w:bookmarkStart w:id="323" w:name="_Toc13280"/>
      <w:bookmarkStart w:id="324" w:name="_Toc31433"/>
      <w:bookmarkStart w:id="325" w:name="_Toc466298108"/>
      <w:bookmarkStart w:id="326" w:name="_Toc8768"/>
      <w:bookmarkStart w:id="327" w:name="_Toc22864"/>
      <w:bookmarkStart w:id="328" w:name="_Toc455867785"/>
      <w:bookmarkStart w:id="329" w:name="_Toc455080125"/>
      <w:bookmarkStart w:id="330" w:name="_Toc31931"/>
      <w:bookmarkStart w:id="331" w:name="_Toc18750"/>
      <w:bookmarkStart w:id="332" w:name="_Toc490667845"/>
      <w:r>
        <w:rPr>
          <w:rFonts w:hint="eastAsia" w:ascii="宋体" w:hAnsi="宋体" w:cs="宋体"/>
          <w:color w:val="auto"/>
          <w:szCs w:val="21"/>
          <w:highlight w:val="none"/>
        </w:rPr>
        <w:t>详见第</w:t>
      </w:r>
      <w:r>
        <w:rPr>
          <w:rFonts w:hint="eastAsia" w:ascii="宋体" w:hAnsi="宋体" w:cs="宋体"/>
          <w:color w:val="auto"/>
          <w:szCs w:val="21"/>
          <w:highlight w:val="none"/>
          <w:lang w:eastAsia="zh"/>
          <w:woUserID w:val="3"/>
        </w:rPr>
        <w:t>六</w:t>
      </w:r>
      <w:r>
        <w:rPr>
          <w:rFonts w:hint="eastAsia" w:ascii="宋体" w:hAnsi="宋体" w:cs="宋体"/>
          <w:color w:val="auto"/>
          <w:szCs w:val="21"/>
          <w:highlight w:val="none"/>
        </w:rPr>
        <w:t>章</w:t>
      </w:r>
      <w:bookmarkStart w:id="333" w:name="_Toc152042324"/>
      <w:bookmarkStart w:id="334" w:name="_Toc144974516"/>
      <w:bookmarkStart w:id="335" w:name="_Toc26291"/>
      <w:bookmarkStart w:id="336" w:name="_Toc318450692"/>
      <w:bookmarkStart w:id="337" w:name="_Toc152045548"/>
      <w:bookmarkStart w:id="338" w:name="_Toc279156232"/>
      <w:bookmarkStart w:id="339" w:name="_Toc899"/>
      <w:r>
        <w:rPr>
          <w:rFonts w:hint="eastAsia" w:ascii="宋体" w:hAnsi="宋体" w:cs="宋体"/>
          <w:color w:val="auto"/>
          <w:szCs w:val="21"/>
          <w:highlight w:val="none"/>
        </w:rPr>
        <w:t>“竞争性磋商响应文件格式”</w:t>
      </w:r>
      <w:bookmarkEnd w:id="322"/>
      <w:bookmarkEnd w:id="323"/>
      <w:bookmarkEnd w:id="324"/>
      <w:bookmarkEnd w:id="325"/>
      <w:bookmarkEnd w:id="326"/>
      <w:bookmarkEnd w:id="327"/>
      <w:bookmarkEnd w:id="328"/>
      <w:bookmarkEnd w:id="329"/>
      <w:bookmarkEnd w:id="330"/>
      <w:bookmarkEnd w:id="331"/>
      <w:bookmarkEnd w:id="332"/>
      <w:r>
        <w:rPr>
          <w:rFonts w:hint="eastAsia" w:ascii="宋体" w:hAnsi="宋体" w:cs="宋体"/>
          <w:color w:val="auto"/>
          <w:szCs w:val="21"/>
          <w:highlight w:val="none"/>
        </w:rPr>
        <w:t>。</w:t>
      </w:r>
    </w:p>
    <w:p w14:paraId="5C527BBB">
      <w:pPr>
        <w:spacing w:line="360" w:lineRule="auto"/>
        <w:outlineLvl w:val="1"/>
        <w:rPr>
          <w:rFonts w:ascii="宋体" w:hAnsi="宋体" w:cs="宋体"/>
          <w:b/>
          <w:bCs/>
          <w:color w:val="auto"/>
          <w:highlight w:val="none"/>
        </w:rPr>
      </w:pPr>
      <w:r>
        <w:rPr>
          <w:rFonts w:hint="eastAsia" w:ascii="宋体" w:hAnsi="宋体" w:cs="宋体"/>
          <w:b/>
          <w:bCs/>
          <w:color w:val="auto"/>
          <w:highlight w:val="none"/>
        </w:rPr>
        <w:t>3.2 磋商报价</w:t>
      </w:r>
      <w:bookmarkEnd w:id="333"/>
      <w:bookmarkEnd w:id="334"/>
      <w:bookmarkEnd w:id="335"/>
      <w:bookmarkEnd w:id="336"/>
      <w:bookmarkEnd w:id="337"/>
      <w:bookmarkEnd w:id="338"/>
      <w:bookmarkEnd w:id="339"/>
    </w:p>
    <w:p w14:paraId="4F03010D">
      <w:pPr>
        <w:tabs>
          <w:tab w:val="left" w:pos="720"/>
          <w:tab w:val="left" w:pos="13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 磋商报价不允许超过本项目</w:t>
      </w:r>
      <w:r>
        <w:rPr>
          <w:rFonts w:hint="eastAsia" w:ascii="宋体" w:hAnsi="宋体" w:cs="宋体"/>
          <w:color w:val="auto"/>
          <w:szCs w:val="21"/>
          <w:highlight w:val="none"/>
          <w:lang w:eastAsia="zh-CN"/>
        </w:rPr>
        <w:t>最高限价</w:t>
      </w:r>
      <w:r>
        <w:rPr>
          <w:rFonts w:hint="eastAsia" w:ascii="宋体" w:hAnsi="宋体" w:cs="宋体"/>
          <w:color w:val="auto"/>
          <w:szCs w:val="21"/>
          <w:highlight w:val="none"/>
        </w:rPr>
        <w:t>，否则按无效响应处理。</w:t>
      </w:r>
    </w:p>
    <w:p w14:paraId="7150F5EB">
      <w:pPr>
        <w:spacing w:line="360" w:lineRule="auto"/>
        <w:ind w:firstLine="420" w:firstLineChars="200"/>
        <w:outlineLvl w:val="9"/>
        <w:rPr>
          <w:rFonts w:hint="eastAsia" w:ascii="宋体" w:hAnsi="宋体" w:cs="宋体"/>
          <w:color w:val="auto"/>
          <w:highlight w:val="none"/>
        </w:rPr>
      </w:pPr>
      <w:r>
        <w:rPr>
          <w:rFonts w:hint="eastAsia" w:ascii="宋体" w:hAnsi="宋体" w:cs="宋体"/>
          <w:color w:val="auto"/>
          <w:highlight w:val="none"/>
          <w:lang w:eastAsia="zh"/>
        </w:rPr>
        <w:t>3.2.</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供应商</w:t>
      </w:r>
      <w:r>
        <w:rPr>
          <w:rFonts w:hint="eastAsia" w:ascii="宋体" w:hAnsi="宋体" w:cs="宋体"/>
          <w:color w:val="auto"/>
          <w:highlight w:val="none"/>
        </w:rPr>
        <w:t>所报的全套施工图设计中包括合同范围内从合同开始执行到项目竣工验收所包括的各种设计费用及相关的审查和评审等全部费用，请结合市场行情自主报价，不接受选择性报价。</w:t>
      </w:r>
    </w:p>
    <w:p w14:paraId="41A8AB05">
      <w:pPr>
        <w:spacing w:line="360" w:lineRule="auto"/>
        <w:ind w:firstLine="420" w:firstLineChars="200"/>
        <w:outlineLvl w:val="9"/>
        <w:rPr>
          <w:rFonts w:hint="eastAsia" w:ascii="宋体" w:hAnsi="宋体" w:cs="宋体"/>
          <w:color w:val="auto"/>
          <w:highlight w:val="none"/>
        </w:rPr>
      </w:pPr>
      <w:r>
        <w:rPr>
          <w:rFonts w:hint="eastAsia" w:ascii="宋体" w:hAnsi="宋体" w:cs="宋体"/>
          <w:color w:val="auto"/>
          <w:highlight w:val="none"/>
          <w:lang w:eastAsia="zh"/>
        </w:rPr>
        <w:t>3.2.</w:t>
      </w:r>
      <w:r>
        <w:rPr>
          <w:rFonts w:hint="eastAsia" w:ascii="宋体" w:hAnsi="宋体" w:cs="宋体"/>
          <w:color w:val="auto"/>
          <w:highlight w:val="none"/>
          <w:lang w:val="en-US" w:eastAsia="zh-CN"/>
        </w:rPr>
        <w:t>3</w:t>
      </w:r>
      <w:r>
        <w:rPr>
          <w:rFonts w:hint="eastAsia" w:ascii="宋体" w:hAnsi="宋体" w:cs="宋体"/>
          <w:color w:val="auto"/>
          <w:highlight w:val="none"/>
        </w:rPr>
        <w:t>依据中标人完成的满足</w:t>
      </w:r>
      <w:r>
        <w:rPr>
          <w:rFonts w:hint="eastAsia" w:ascii="宋体" w:hAnsi="宋体" w:cs="宋体"/>
          <w:color w:val="auto"/>
          <w:highlight w:val="none"/>
          <w:lang w:eastAsia="zh-CN"/>
        </w:rPr>
        <w:t>采购人</w:t>
      </w:r>
      <w:r>
        <w:rPr>
          <w:rFonts w:hint="eastAsia" w:ascii="宋体" w:hAnsi="宋体" w:cs="宋体"/>
          <w:color w:val="auto"/>
          <w:highlight w:val="none"/>
        </w:rPr>
        <w:t>需求并经审核通过的图纸，中标人在约定的工期及其他合同条款的条件下，最终完成合同约定范围内所有项目所发生的全部费用。</w:t>
      </w:r>
    </w:p>
    <w:p w14:paraId="15CEDB5B">
      <w:pPr>
        <w:tabs>
          <w:tab w:val="left" w:pos="720"/>
          <w:tab w:val="left" w:pos="1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响应文件的</w:t>
      </w:r>
      <w:r>
        <w:rPr>
          <w:rFonts w:hint="eastAsia" w:ascii="宋体" w:hAnsi="宋体" w:cs="宋体"/>
          <w:color w:val="auto"/>
          <w:szCs w:val="21"/>
          <w:highlight w:val="none"/>
          <w:lang w:eastAsia="zh"/>
          <w:woUserID w:val="3"/>
        </w:rPr>
        <w:t>磋商</w:t>
      </w:r>
      <w:r>
        <w:rPr>
          <w:rFonts w:hint="eastAsia" w:ascii="宋体" w:hAnsi="宋体" w:cs="宋体"/>
          <w:color w:val="auto"/>
          <w:szCs w:val="21"/>
          <w:highlight w:val="none"/>
        </w:rPr>
        <w:t>报价，应是完成本文件所列采购范围及工期与质量的的全部内容。</w:t>
      </w:r>
    </w:p>
    <w:p w14:paraId="25F26C96">
      <w:pPr>
        <w:tabs>
          <w:tab w:val="left" w:pos="7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对所投项目根据市场行情自主报价，分二次报价：第一次报价必须按照磋商文件的报价格式填报。第二次报价在磋商中填报，第二次报价为最终报价。</w:t>
      </w:r>
    </w:p>
    <w:p w14:paraId="1086E776">
      <w:pPr>
        <w:tabs>
          <w:tab w:val="left" w:pos="720"/>
          <w:tab w:val="left" w:pos="1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不得以任何理由在磋商后对</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报价予以修改，报价在</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有效期内是固定的，不因任何原因而改变。任何包含价格调整要求和条件的</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，将被视为非实质性响应</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而予以拒绝。</w:t>
      </w:r>
    </w:p>
    <w:p w14:paraId="2EE550FB">
      <w:pPr>
        <w:tabs>
          <w:tab w:val="left" w:pos="720"/>
          <w:tab w:val="left" w:pos="13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本项目的磋商报价应按照磋商文件、补充通知、答疑纪要、现场情况、承包范围，由各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根据自身情况，在合理范围内，自主考虑、优惠报价，但不得低于企业成本</w:t>
      </w:r>
    </w:p>
    <w:p w14:paraId="2489A1FF">
      <w:pPr>
        <w:tabs>
          <w:tab w:val="left" w:pos="720"/>
          <w:tab w:val="left" w:pos="1320"/>
        </w:tabs>
        <w:spacing w:line="360" w:lineRule="auto"/>
        <w:ind w:firstLine="420" w:firstLineChars="200"/>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
        </w:rPr>
        <w:t>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响应处理。</w:t>
      </w:r>
    </w:p>
    <w:p w14:paraId="51E99675">
      <w:pPr>
        <w:tabs>
          <w:tab w:val="left" w:pos="720"/>
          <w:tab w:val="left" w:pos="1320"/>
        </w:tabs>
        <w:spacing w:line="360" w:lineRule="auto"/>
        <w:ind w:firstLine="420" w:firstLineChars="200"/>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
        </w:rPr>
        <w:t>本项目最高限价：</w:t>
      </w:r>
      <w:r>
        <w:rPr>
          <w:rFonts w:hint="eastAsia" w:ascii="宋体" w:hAnsi="宋体" w:cs="宋体"/>
          <w:color w:val="auto"/>
          <w:szCs w:val="21"/>
          <w:highlight w:val="none"/>
          <w:lang w:eastAsia="zh"/>
          <w:woUserID w:val="2"/>
        </w:rPr>
        <w:t>6200000</w:t>
      </w:r>
      <w:r>
        <w:rPr>
          <w:rFonts w:hint="eastAsia" w:ascii="宋体" w:hAnsi="宋体" w:eastAsia="宋体" w:cs="宋体"/>
          <w:color w:val="auto"/>
          <w:szCs w:val="21"/>
          <w:highlight w:val="none"/>
          <w:lang w:eastAsia="zh"/>
        </w:rPr>
        <w:t>元人民币，供应商各轮次总报价均不能超过最高限价，否则其磋商响应文件按无效处理。</w:t>
      </w:r>
    </w:p>
    <w:p w14:paraId="40B202BD">
      <w:pPr>
        <w:tabs>
          <w:tab w:val="left" w:pos="720"/>
          <w:tab w:val="left" w:pos="1320"/>
        </w:tabs>
        <w:spacing w:line="360" w:lineRule="auto"/>
        <w:ind w:firstLine="420" w:firstLineChars="200"/>
        <w:rPr>
          <w:rFonts w:hint="eastAsia" w:ascii="宋体" w:hAnsi="宋体" w:eastAsia="宋体" w:cs="宋体"/>
          <w:color w:val="auto"/>
          <w:szCs w:val="21"/>
          <w:highlight w:val="none"/>
          <w:lang w:eastAsia="zh"/>
        </w:rPr>
      </w:pPr>
      <w:bookmarkStart w:id="340" w:name="_Toc3624"/>
      <w:bookmarkStart w:id="341" w:name="_Toc144974517"/>
      <w:bookmarkStart w:id="342" w:name="_Toc7105"/>
      <w:bookmarkStart w:id="343" w:name="_Toc21680"/>
      <w:bookmarkStart w:id="344" w:name="_Toc318450693"/>
      <w:bookmarkStart w:id="345" w:name="_Toc11968"/>
      <w:bookmarkStart w:id="346" w:name="_Toc152042325"/>
      <w:bookmarkStart w:id="347" w:name="_Toc490667846"/>
      <w:bookmarkStart w:id="348" w:name="_Toc466298109"/>
      <w:bookmarkStart w:id="349" w:name="_Toc152045549"/>
      <w:bookmarkStart w:id="350" w:name="_Toc21600"/>
      <w:bookmarkStart w:id="351" w:name="_Toc7910"/>
      <w:bookmarkStart w:id="352" w:name="_Toc455867786"/>
      <w:bookmarkStart w:id="353" w:name="_Toc455080126"/>
      <w:bookmarkStart w:id="354" w:name="_Toc29133"/>
      <w:bookmarkStart w:id="355" w:name="_Toc2425"/>
      <w:bookmarkStart w:id="356" w:name="_Toc6105"/>
      <w:r>
        <w:rPr>
          <w:rFonts w:hint="eastAsia" w:ascii="宋体" w:hAnsi="宋体" w:eastAsia="宋体" w:cs="宋体"/>
          <w:color w:val="auto"/>
          <w:szCs w:val="21"/>
          <w:highlight w:val="none"/>
          <w:lang w:val="en-US" w:eastAsia="zh-CN"/>
        </w:rPr>
        <w:t>评审中出现下列情形之一的，</w:t>
      </w:r>
      <w:r>
        <w:rPr>
          <w:rFonts w:hint="eastAsia" w:ascii="宋体" w:hAnsi="宋体" w:eastAsia="宋体" w:cs="宋体"/>
          <w:color w:val="auto"/>
          <w:szCs w:val="21"/>
          <w:highlight w:val="none"/>
          <w:lang w:val="en-US" w:eastAsia="zh"/>
        </w:rPr>
        <w:t>磋商小组</w:t>
      </w:r>
      <w:r>
        <w:rPr>
          <w:rFonts w:hint="eastAsia" w:ascii="宋体" w:hAnsi="宋体" w:eastAsia="宋体" w:cs="宋体"/>
          <w:color w:val="auto"/>
          <w:szCs w:val="21"/>
          <w:highlight w:val="none"/>
          <w:lang w:val="en-US" w:eastAsia="zh-CN"/>
        </w:rPr>
        <w:t>应当启动异常低价投标（响应）审查程序：</w:t>
      </w:r>
    </w:p>
    <w:p w14:paraId="2518036A">
      <w:pPr>
        <w:tabs>
          <w:tab w:val="left" w:pos="720"/>
          <w:tab w:val="left" w:pos="1320"/>
        </w:tabs>
        <w:spacing w:line="360" w:lineRule="auto"/>
        <w:ind w:firstLine="420" w:firstLineChars="200"/>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val="en-US" w:eastAsia="zh-CN"/>
        </w:rPr>
        <w:t>1.投标（响应）报价低于全部通过符合性审查供应商投标（响应）报价平均值</w:t>
      </w:r>
      <w:r>
        <w:rPr>
          <w:rFonts w:hint="eastAsia" w:ascii="宋体" w:hAnsi="宋体" w:eastAsia="宋体" w:cs="宋体"/>
          <w:color w:val="auto"/>
          <w:szCs w:val="21"/>
          <w:highlight w:val="none"/>
          <w:lang w:val="en-US" w:eastAsia="zh"/>
        </w:rPr>
        <w:t>65</w:t>
      </w:r>
      <w:r>
        <w:rPr>
          <w:rFonts w:hint="eastAsia" w:ascii="宋体" w:hAnsi="宋体" w:eastAsia="宋体" w:cs="宋体"/>
          <w:color w:val="auto"/>
          <w:szCs w:val="21"/>
          <w:highlight w:val="none"/>
          <w:lang w:val="en-US" w:eastAsia="zh-CN"/>
        </w:rPr>
        <w:t>%的，即投标（响应）报价&lt;全部通过符合性审查供应商投标（响应）报价平均值×</w:t>
      </w:r>
      <w:r>
        <w:rPr>
          <w:rFonts w:hint="eastAsia" w:ascii="宋体" w:hAnsi="宋体" w:eastAsia="宋体" w:cs="宋体"/>
          <w:color w:val="auto"/>
          <w:szCs w:val="21"/>
          <w:highlight w:val="none"/>
          <w:lang w:val="en-US" w:eastAsia="zh"/>
        </w:rPr>
        <w:t>65</w:t>
      </w:r>
      <w:r>
        <w:rPr>
          <w:rFonts w:hint="eastAsia" w:ascii="宋体" w:hAnsi="宋体" w:eastAsia="宋体" w:cs="宋体"/>
          <w:color w:val="auto"/>
          <w:szCs w:val="21"/>
          <w:highlight w:val="none"/>
          <w:lang w:val="en-US" w:eastAsia="zh-CN"/>
        </w:rPr>
        <w:t>%；</w:t>
      </w:r>
    </w:p>
    <w:p w14:paraId="4091BCEC">
      <w:pPr>
        <w:tabs>
          <w:tab w:val="left" w:pos="720"/>
          <w:tab w:val="left" w:pos="1320"/>
        </w:tabs>
        <w:spacing w:line="360" w:lineRule="auto"/>
        <w:ind w:firstLine="420" w:firstLineChars="200"/>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val="en-US" w:eastAsia="zh-CN"/>
        </w:rPr>
        <w:t>2.投标（响应）报价低于通过符合性审查的次低报价供应商投标（响应）报价</w:t>
      </w:r>
      <w:r>
        <w:rPr>
          <w:rFonts w:hint="eastAsia" w:ascii="宋体" w:hAnsi="宋体" w:eastAsia="宋体" w:cs="宋体"/>
          <w:color w:val="auto"/>
          <w:szCs w:val="21"/>
          <w:highlight w:val="none"/>
          <w:lang w:val="en-US" w:eastAsia="zh"/>
        </w:rPr>
        <w:t>65</w:t>
      </w:r>
      <w:r>
        <w:rPr>
          <w:rFonts w:hint="eastAsia" w:ascii="宋体" w:hAnsi="宋体" w:eastAsia="宋体" w:cs="宋体"/>
          <w:color w:val="auto"/>
          <w:szCs w:val="21"/>
          <w:highlight w:val="none"/>
          <w:lang w:val="en-US" w:eastAsia="zh-CN"/>
        </w:rPr>
        <w:t>%的，即投标（响应）报价&lt;通过符合性审查的次低报价供应商投标（响应）报价×</w:t>
      </w:r>
      <w:r>
        <w:rPr>
          <w:rFonts w:hint="eastAsia" w:ascii="宋体" w:hAnsi="宋体" w:eastAsia="宋体" w:cs="宋体"/>
          <w:color w:val="auto"/>
          <w:szCs w:val="21"/>
          <w:highlight w:val="none"/>
          <w:lang w:val="en-US" w:eastAsia="zh"/>
        </w:rPr>
        <w:t>65</w:t>
      </w:r>
      <w:r>
        <w:rPr>
          <w:rFonts w:hint="eastAsia" w:ascii="宋体" w:hAnsi="宋体" w:eastAsia="宋体" w:cs="宋体"/>
          <w:color w:val="auto"/>
          <w:szCs w:val="21"/>
          <w:highlight w:val="none"/>
          <w:lang w:val="en-US" w:eastAsia="zh-CN"/>
        </w:rPr>
        <w:t>%；</w:t>
      </w:r>
    </w:p>
    <w:p w14:paraId="0DB28CC1">
      <w:pPr>
        <w:tabs>
          <w:tab w:val="left" w:pos="720"/>
          <w:tab w:val="left" w:pos="1320"/>
        </w:tabs>
        <w:spacing w:line="360" w:lineRule="auto"/>
        <w:ind w:firstLine="420" w:firstLineChars="200"/>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val="en-US" w:eastAsia="zh-CN"/>
        </w:rPr>
        <w:t>3.投标（响应）报价低于采购项目最高限价</w:t>
      </w:r>
      <w:r>
        <w:rPr>
          <w:rFonts w:hint="eastAsia" w:ascii="宋体" w:hAnsi="宋体" w:eastAsia="宋体" w:cs="宋体"/>
          <w:color w:val="auto"/>
          <w:szCs w:val="21"/>
          <w:highlight w:val="none"/>
          <w:lang w:val="en-US" w:eastAsia="zh"/>
        </w:rPr>
        <w:t>65</w:t>
      </w:r>
      <w:r>
        <w:rPr>
          <w:rFonts w:hint="eastAsia" w:ascii="宋体" w:hAnsi="宋体" w:eastAsia="宋体" w:cs="宋体"/>
          <w:color w:val="auto"/>
          <w:szCs w:val="21"/>
          <w:highlight w:val="none"/>
          <w:lang w:val="en-US" w:eastAsia="zh-CN"/>
        </w:rPr>
        <w:t>%的，即投标（响应）报价&lt;采购项目最高限价×</w:t>
      </w:r>
      <w:r>
        <w:rPr>
          <w:rFonts w:hint="eastAsia" w:ascii="宋体" w:hAnsi="宋体" w:eastAsia="宋体" w:cs="宋体"/>
          <w:color w:val="auto"/>
          <w:szCs w:val="21"/>
          <w:highlight w:val="none"/>
          <w:lang w:val="en-US" w:eastAsia="zh"/>
        </w:rPr>
        <w:t>65</w:t>
      </w:r>
      <w:r>
        <w:rPr>
          <w:rFonts w:hint="eastAsia" w:ascii="宋体" w:hAnsi="宋体" w:eastAsia="宋体" w:cs="宋体"/>
          <w:color w:val="auto"/>
          <w:szCs w:val="21"/>
          <w:highlight w:val="none"/>
          <w:lang w:val="en-US" w:eastAsia="zh-CN"/>
        </w:rPr>
        <w:t>%；</w:t>
      </w:r>
    </w:p>
    <w:p w14:paraId="450E45F4">
      <w:pPr>
        <w:tabs>
          <w:tab w:val="left" w:pos="720"/>
          <w:tab w:val="left" w:pos="1320"/>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en-US" w:eastAsia="zh"/>
        </w:rPr>
        <w:t>磋商小组</w:t>
      </w:r>
      <w:r>
        <w:rPr>
          <w:rFonts w:hint="eastAsia" w:ascii="宋体" w:hAnsi="宋体" w:eastAsia="宋体" w:cs="宋体"/>
          <w:color w:val="auto"/>
          <w:szCs w:val="21"/>
          <w:highlight w:val="none"/>
          <w:lang w:val="en-US" w:eastAsia="zh-CN"/>
        </w:rPr>
        <w:t>基于专业判断，认为供应商报价过低，有可能影响产品质量或者不能诚信履约的其他情形。</w:t>
      </w:r>
    </w:p>
    <w:p w14:paraId="2362B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cs="宋体"/>
          <w:b/>
          <w:bCs/>
          <w:i w:val="0"/>
          <w:iCs w:val="0"/>
          <w:caps w:val="0"/>
          <w:color w:val="auto"/>
          <w:spacing w:val="0"/>
          <w:kern w:val="0"/>
          <w:sz w:val="21"/>
          <w:szCs w:val="21"/>
          <w:highlight w:val="none"/>
          <w:shd w:val="clear" w:fill="FFFFFF"/>
          <w:lang w:val="en-US" w:eastAsia="zh" w:bidi="ar"/>
          <w:woUserID w:val="1"/>
        </w:rPr>
      </w:pP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磋商小组启动异常低价投标（响应）审查后，属于前述第1项至第4项情形的，请相关供应商在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7132F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firstLine="0" w:firstLineChars="0"/>
        <w:jc w:val="both"/>
        <w:rPr>
          <w:rFonts w:hint="eastAsia" w:ascii="宋体" w:hAnsi="宋体" w:cs="宋体"/>
          <w:b/>
          <w:bCs/>
          <w:i w:val="0"/>
          <w:iCs w:val="0"/>
          <w:caps w:val="0"/>
          <w:color w:val="auto"/>
          <w:spacing w:val="0"/>
          <w:kern w:val="0"/>
          <w:sz w:val="21"/>
          <w:szCs w:val="21"/>
          <w:highlight w:val="none"/>
          <w:shd w:val="clear" w:fill="FFFFFF"/>
          <w:lang w:val="en-US" w:eastAsia="zh" w:bidi="ar"/>
          <w:woUserID w:val="1"/>
        </w:rPr>
      </w:pP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投标（响应）供应商不能提供书面说明、证明材料，或者提供的书面说明、证明材料不能证明其报价合理性的，评审委员会应当将其作为无效投标（响应）处理。</w:t>
      </w:r>
    </w:p>
    <w:p w14:paraId="3A32B8A1">
      <w:pPr>
        <w:tabs>
          <w:tab w:val="left" w:pos="720"/>
          <w:tab w:val="left" w:pos="1320"/>
        </w:tabs>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cs="宋体"/>
          <w:b/>
          <w:bCs/>
          <w:i w:val="0"/>
          <w:iCs w:val="0"/>
          <w:caps w:val="0"/>
          <w:color w:val="auto"/>
          <w:spacing w:val="0"/>
          <w:kern w:val="0"/>
          <w:sz w:val="21"/>
          <w:szCs w:val="21"/>
          <w:highlight w:val="none"/>
          <w:shd w:val="clear" w:fill="FFFFFF"/>
          <w:lang w:val="en-US" w:eastAsia="zh" w:bidi="ar"/>
          <w:woUserID w:val="1"/>
        </w:rPr>
        <w:t>异常低价投标（响应）审查的启动原因、审查意见和审查结果应当在评审报告中记录。</w:t>
      </w:r>
    </w:p>
    <w:p w14:paraId="481617F6">
      <w:pPr>
        <w:tabs>
          <w:tab w:val="left" w:pos="720"/>
          <w:tab w:val="left" w:pos="1320"/>
        </w:tabs>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3.3 磋商有效期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CE4A0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须知前附表规定的磋商有效期内，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不得要求撤销或修改其响应文件。</w:t>
      </w:r>
    </w:p>
    <w:p w14:paraId="7C0A4B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出现特殊情况需要延长磋商有效期的，采购人以书面形式通知所有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延长磋商有效期。</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同意延长的，不得要求或被允许修改或撤销其响应文件；</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拒绝延长的，其响应文件失效。</w:t>
      </w:r>
    </w:p>
    <w:p w14:paraId="5470B947">
      <w:pPr>
        <w:spacing w:line="360" w:lineRule="auto"/>
        <w:outlineLvl w:val="1"/>
        <w:rPr>
          <w:rFonts w:ascii="宋体" w:hAnsi="宋体" w:cs="宋体"/>
          <w:b/>
          <w:bCs/>
          <w:color w:val="auto"/>
          <w:highlight w:val="none"/>
        </w:rPr>
      </w:pPr>
      <w:bookmarkStart w:id="357" w:name="_Toc466298110"/>
      <w:bookmarkStart w:id="358" w:name="_Toc7973"/>
      <w:bookmarkStart w:id="359" w:name="_Toc7618"/>
      <w:bookmarkStart w:id="360" w:name="_Toc144974518"/>
      <w:bookmarkStart w:id="361" w:name="_Toc8406"/>
      <w:bookmarkStart w:id="362" w:name="_Toc2505"/>
      <w:bookmarkStart w:id="363" w:name="_Toc152045550"/>
      <w:bookmarkStart w:id="364" w:name="_Toc490667847"/>
      <w:bookmarkStart w:id="365" w:name="_Toc152042326"/>
      <w:bookmarkStart w:id="366" w:name="_Toc7057"/>
      <w:bookmarkStart w:id="367" w:name="_Toc30697"/>
      <w:bookmarkStart w:id="368" w:name="_Toc10370"/>
      <w:bookmarkStart w:id="369" w:name="_Toc4165"/>
      <w:bookmarkStart w:id="370" w:name="_Toc22634"/>
      <w:bookmarkStart w:id="371" w:name="_Toc455080127"/>
      <w:bookmarkStart w:id="372" w:name="_Toc318450694"/>
      <w:bookmarkStart w:id="373" w:name="_Toc455867787"/>
      <w:r>
        <w:rPr>
          <w:rFonts w:hint="eastAsia" w:ascii="宋体" w:hAnsi="宋体" w:cs="宋体"/>
          <w:b/>
          <w:bCs/>
          <w:color w:val="auto"/>
          <w:highlight w:val="none"/>
        </w:rPr>
        <w:t>3.4 磋商保证金</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D61B2AD">
      <w:pPr>
        <w:spacing w:line="360" w:lineRule="auto"/>
        <w:ind w:firstLine="420" w:firstLineChars="200"/>
        <w:rPr>
          <w:rFonts w:ascii="宋体" w:hAnsi="宋体" w:cs="宋体"/>
          <w:color w:val="auto"/>
          <w:szCs w:val="21"/>
          <w:highlight w:val="none"/>
        </w:rPr>
      </w:pPr>
      <w:bookmarkStart w:id="374" w:name="_Toc318450695"/>
      <w:bookmarkStart w:id="375" w:name="_Toc152045552"/>
      <w:bookmarkStart w:id="376" w:name="_Toc152042328"/>
      <w:bookmarkStart w:id="377" w:name="_Toc144974520"/>
      <w:r>
        <w:rPr>
          <w:rFonts w:hint="eastAsia" w:ascii="宋体" w:hAnsi="宋体" w:cs="宋体"/>
          <w:color w:val="auto"/>
          <w:szCs w:val="21"/>
          <w:highlight w:val="none"/>
        </w:rPr>
        <w:t>不缴纳。</w:t>
      </w:r>
    </w:p>
    <w:p w14:paraId="04A91C2A">
      <w:pPr>
        <w:spacing w:line="360" w:lineRule="auto"/>
        <w:outlineLvl w:val="1"/>
        <w:rPr>
          <w:rFonts w:ascii="宋体" w:hAnsi="宋体" w:cs="宋体"/>
          <w:b/>
          <w:bCs/>
          <w:color w:val="auto"/>
          <w:highlight w:val="none"/>
        </w:rPr>
      </w:pPr>
      <w:bookmarkStart w:id="378" w:name="_Toc13680"/>
      <w:bookmarkStart w:id="379" w:name="_Toc2794"/>
      <w:bookmarkStart w:id="380" w:name="_Toc17153"/>
      <w:bookmarkStart w:id="381" w:name="_Toc20328"/>
      <w:bookmarkStart w:id="382" w:name="_Toc490667848"/>
      <w:bookmarkStart w:id="383" w:name="_Toc466298111"/>
      <w:bookmarkStart w:id="384" w:name="_Toc455080128"/>
      <w:bookmarkStart w:id="385" w:name="_Toc455867788"/>
      <w:bookmarkStart w:id="386" w:name="_Toc22527"/>
      <w:bookmarkStart w:id="387" w:name="_Toc11077"/>
      <w:bookmarkStart w:id="388" w:name="_Toc16747"/>
      <w:bookmarkStart w:id="389" w:name="_Toc27579"/>
      <w:bookmarkStart w:id="390" w:name="_Toc22384"/>
      <w:r>
        <w:rPr>
          <w:rFonts w:hint="eastAsia" w:ascii="宋体" w:hAnsi="宋体" w:cs="宋体"/>
          <w:b/>
          <w:bCs/>
          <w:color w:val="auto"/>
          <w:highlight w:val="none"/>
        </w:rPr>
        <w:t>3.5资格审查资料</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5A911437">
      <w:pPr>
        <w:spacing w:line="360" w:lineRule="auto"/>
        <w:ind w:firstLine="420" w:firstLineChars="200"/>
        <w:rPr>
          <w:rFonts w:ascii="宋体" w:hAnsi="宋体" w:cs="宋体"/>
          <w:color w:val="auto"/>
          <w:szCs w:val="21"/>
          <w:highlight w:val="none"/>
        </w:rPr>
      </w:pPr>
      <w:bookmarkStart w:id="391" w:name="_Toc318450696"/>
      <w:bookmarkStart w:id="392" w:name="_Toc152042329"/>
      <w:bookmarkStart w:id="393" w:name="_Toc5132"/>
      <w:bookmarkStart w:id="394" w:name="_Toc152045553"/>
      <w:bookmarkStart w:id="395" w:name="_Toc26258"/>
      <w:bookmarkStart w:id="396" w:name="_Toc144974521"/>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w:t>
      </w:r>
    </w:p>
    <w:p w14:paraId="210C126C">
      <w:pPr>
        <w:spacing w:line="360" w:lineRule="auto"/>
        <w:outlineLvl w:val="1"/>
        <w:rPr>
          <w:rFonts w:ascii="宋体" w:hAnsi="宋体" w:cs="宋体"/>
          <w:b/>
          <w:bCs/>
          <w:color w:val="auto"/>
          <w:highlight w:val="none"/>
        </w:rPr>
      </w:pPr>
      <w:bookmarkStart w:id="397" w:name="_Toc455867789"/>
      <w:bookmarkStart w:id="398" w:name="_Toc11694"/>
      <w:bookmarkStart w:id="399" w:name="_Toc490667849"/>
      <w:bookmarkStart w:id="400" w:name="_Toc3286"/>
      <w:bookmarkStart w:id="401" w:name="_Toc30442"/>
      <w:bookmarkStart w:id="402" w:name="_Toc1228"/>
      <w:bookmarkStart w:id="403" w:name="_Toc19724"/>
      <w:bookmarkStart w:id="404" w:name="_Toc466298112"/>
      <w:bookmarkStart w:id="405" w:name="_Toc9015"/>
      <w:bookmarkStart w:id="406" w:name="_Toc18915"/>
      <w:bookmarkStart w:id="407" w:name="_Toc455080129"/>
      <w:r>
        <w:rPr>
          <w:rFonts w:hint="eastAsia" w:ascii="宋体" w:hAnsi="宋体" w:cs="宋体"/>
          <w:b/>
          <w:bCs/>
          <w:color w:val="auto"/>
          <w:highlight w:val="none"/>
        </w:rPr>
        <w:t>3.6 备选方案</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95406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须知前附表另有规定外，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不得递交备选磋商方案。</w:t>
      </w:r>
    </w:p>
    <w:p w14:paraId="0B12FE3B">
      <w:pPr>
        <w:spacing w:line="360" w:lineRule="auto"/>
        <w:outlineLvl w:val="1"/>
        <w:rPr>
          <w:rFonts w:ascii="宋体" w:hAnsi="宋体" w:cs="宋体"/>
          <w:b/>
          <w:bCs/>
          <w:color w:val="auto"/>
          <w:highlight w:val="none"/>
        </w:rPr>
      </w:pPr>
      <w:bookmarkStart w:id="408" w:name="_Toc490667850"/>
      <w:bookmarkStart w:id="409" w:name="_Toc18912"/>
      <w:bookmarkStart w:id="410" w:name="_Toc152045554"/>
      <w:bookmarkStart w:id="411" w:name="_Toc28656"/>
      <w:bookmarkStart w:id="412" w:name="_Toc12275"/>
      <w:bookmarkStart w:id="413" w:name="_Toc17697"/>
      <w:bookmarkStart w:id="414" w:name="_Toc7626"/>
      <w:bookmarkStart w:id="415" w:name="_Toc152042330"/>
      <w:bookmarkStart w:id="416" w:name="_Toc455867790"/>
      <w:bookmarkStart w:id="417" w:name="_Toc5516"/>
      <w:bookmarkStart w:id="418" w:name="_Toc144974522"/>
      <w:bookmarkStart w:id="419" w:name="_Toc25620"/>
      <w:bookmarkStart w:id="420" w:name="_Toc7966"/>
      <w:bookmarkStart w:id="421" w:name="_Toc466298113"/>
      <w:bookmarkStart w:id="422" w:name="_Toc318450697"/>
      <w:bookmarkStart w:id="423" w:name="_Toc6323"/>
      <w:bookmarkStart w:id="424" w:name="_Toc455080130"/>
      <w:r>
        <w:rPr>
          <w:rFonts w:hint="eastAsia" w:ascii="宋体" w:hAnsi="宋体" w:cs="宋体"/>
          <w:b/>
          <w:bCs/>
          <w:color w:val="auto"/>
          <w:highlight w:val="none"/>
        </w:rPr>
        <w:t>3.7 响应文件的编制</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1A9A3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3.7.1 磋商响应文件应按“磋商响应文件格式”进行编写，如有必要，可以增加附页，作为磋商响应文件的组成部分。其中，</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函附录在满足竞争性磋商文件实质性要求的基础上，可以提出比竞争性磋商文件要求更有利于采购人的承诺。</w:t>
      </w:r>
    </w:p>
    <w:p w14:paraId="26CB68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3.7.2 磋商响应文件应当对竞争性磋商文件中实质性内容做出响应，否则视为不响应磋商文件实质性要求。</w:t>
      </w:r>
    </w:p>
    <w:p w14:paraId="001310DC">
      <w:pPr>
        <w:spacing w:line="360" w:lineRule="auto"/>
        <w:outlineLvl w:val="1"/>
        <w:rPr>
          <w:rFonts w:hint="eastAsia" w:ascii="宋体" w:hAnsi="宋体" w:eastAsia="宋体" w:cs="宋体"/>
          <w:b/>
          <w:bCs/>
          <w:color w:val="auto"/>
          <w:highlight w:val="none"/>
          <w:lang w:eastAsia="zh-CN"/>
        </w:rPr>
      </w:pPr>
      <w:r>
        <w:rPr>
          <w:rFonts w:hint="eastAsia" w:ascii="宋体" w:hAnsi="宋体" w:cs="宋体"/>
          <w:b/>
          <w:bCs/>
          <w:color w:val="auto"/>
          <w:highlight w:val="none"/>
        </w:rPr>
        <w:t xml:space="preserve">3.8 </w:t>
      </w:r>
      <w:r>
        <w:rPr>
          <w:rFonts w:hint="eastAsia" w:ascii="宋体" w:hAnsi="宋体" w:cs="宋体"/>
          <w:b/>
          <w:bCs/>
          <w:color w:val="auto"/>
          <w:highlight w:val="none"/>
          <w:lang w:eastAsia="zh-CN"/>
        </w:rPr>
        <w:t>项目属性</w:t>
      </w:r>
    </w:p>
    <w:p w14:paraId="6535D740">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207A3ACA">
      <w:pPr>
        <w:pStyle w:val="46"/>
        <w:spacing w:line="360" w:lineRule="auto"/>
        <w:outlineLvl w:val="0"/>
        <w:rPr>
          <w:rFonts w:hint="eastAsia" w:ascii="宋体" w:hAnsi="宋体" w:eastAsia="宋体"/>
          <w:b/>
          <w:bCs/>
          <w:color w:val="auto"/>
          <w:szCs w:val="28"/>
          <w:highlight w:val="none"/>
          <w:lang w:eastAsia="zh-CN"/>
        </w:rPr>
      </w:pPr>
      <w:bookmarkStart w:id="425" w:name="_Toc5235"/>
      <w:bookmarkStart w:id="426" w:name="_Toc144974523"/>
      <w:bookmarkStart w:id="427" w:name="_Toc152042331"/>
      <w:bookmarkStart w:id="428" w:name="_Toc32493"/>
      <w:bookmarkStart w:id="429" w:name="_Toc455080131"/>
      <w:bookmarkStart w:id="430" w:name="_Toc152045555"/>
      <w:bookmarkStart w:id="431" w:name="_Toc28032"/>
      <w:r>
        <w:rPr>
          <w:rFonts w:hint="eastAsia" w:ascii="宋体" w:hAnsi="宋体"/>
          <w:b/>
          <w:bCs/>
          <w:color w:val="auto"/>
          <w:szCs w:val="28"/>
          <w:highlight w:val="none"/>
        </w:rPr>
        <w:t>4.</w:t>
      </w:r>
      <w:bookmarkEnd w:id="425"/>
      <w:bookmarkEnd w:id="426"/>
      <w:bookmarkEnd w:id="427"/>
      <w:bookmarkEnd w:id="428"/>
      <w:bookmarkEnd w:id="429"/>
      <w:bookmarkEnd w:id="430"/>
      <w:bookmarkEnd w:id="431"/>
      <w:r>
        <w:rPr>
          <w:rFonts w:hint="eastAsia" w:ascii="宋体" w:hAnsi="宋体"/>
          <w:b/>
          <w:bCs/>
          <w:color w:val="auto"/>
          <w:szCs w:val="28"/>
          <w:highlight w:val="none"/>
          <w:lang w:eastAsia="zh-CN"/>
        </w:rPr>
        <w:t>响应文件开启</w:t>
      </w:r>
    </w:p>
    <w:p w14:paraId="5240CBD6">
      <w:pPr>
        <w:spacing w:line="360" w:lineRule="auto"/>
        <w:outlineLvl w:val="1"/>
        <w:rPr>
          <w:rFonts w:ascii="宋体" w:hAnsi="宋体" w:cs="宋体"/>
          <w:b/>
          <w:bCs/>
          <w:color w:val="auto"/>
          <w:highlight w:val="none"/>
        </w:rPr>
      </w:pPr>
      <w:bookmarkStart w:id="432" w:name="_Toc490667853"/>
      <w:bookmarkStart w:id="433" w:name="_Toc16832"/>
      <w:bookmarkStart w:id="434" w:name="_Toc20259"/>
      <w:bookmarkStart w:id="435" w:name="_Toc466298116"/>
      <w:bookmarkStart w:id="436" w:name="_Toc21897"/>
      <w:bookmarkStart w:id="437" w:name="_Toc28272"/>
      <w:bookmarkStart w:id="438" w:name="_Toc318450700"/>
      <w:bookmarkStart w:id="439" w:name="_Toc27132"/>
      <w:bookmarkStart w:id="440" w:name="_Toc455867793"/>
      <w:bookmarkStart w:id="441" w:name="_Toc144974525"/>
      <w:bookmarkStart w:id="442" w:name="_Toc8754"/>
      <w:bookmarkStart w:id="443" w:name="_Toc455080133"/>
      <w:bookmarkStart w:id="444" w:name="_Toc7663"/>
      <w:bookmarkStart w:id="445" w:name="_Toc152045557"/>
      <w:bookmarkStart w:id="446" w:name="_Toc462"/>
      <w:bookmarkStart w:id="447" w:name="_Toc21072"/>
      <w:bookmarkStart w:id="448" w:name="_Toc152042333"/>
      <w:r>
        <w:rPr>
          <w:rFonts w:hint="eastAsia" w:ascii="宋体" w:hAnsi="宋体" w:cs="宋体"/>
          <w:b/>
          <w:bCs/>
          <w:color w:val="auto"/>
          <w:highlight w:val="none"/>
        </w:rPr>
        <w:t>4.1 响应文件的递交</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171003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w:t>
      </w:r>
      <w:r>
        <w:rPr>
          <w:rFonts w:hint="eastAsia" w:ascii="宋体" w:hAnsi="宋体" w:cs="宋体"/>
          <w:color w:val="auto"/>
          <w:szCs w:val="21"/>
          <w:highlight w:val="none"/>
          <w:lang w:eastAsia="zh-CN"/>
        </w:rPr>
        <w:t>响应文件提交截止时间</w:t>
      </w:r>
      <w:r>
        <w:rPr>
          <w:rFonts w:hint="eastAsia" w:ascii="宋体" w:hAnsi="宋体" w:cs="宋体"/>
          <w:color w:val="auto"/>
          <w:szCs w:val="21"/>
          <w:highlight w:val="none"/>
        </w:rPr>
        <w:t>前上传加密的电子响应文件到交易中心系统的指定位置。上传时必须得到电脑“上传成功”的确认。请</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在上传时认真检查上传响应文件是否完整、正确。</w:t>
      </w:r>
    </w:p>
    <w:p w14:paraId="7D9056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因河南省公共资源交易中心网系统问题无法上传电子响应文件时，请在工作时间与公共资源交易中心联系。</w:t>
      </w:r>
    </w:p>
    <w:p w14:paraId="6BF0BA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因未在</w:t>
      </w:r>
      <w:r>
        <w:rPr>
          <w:rFonts w:hint="eastAsia" w:ascii="宋体" w:hAnsi="宋体" w:cs="宋体"/>
          <w:color w:val="auto"/>
          <w:szCs w:val="21"/>
          <w:highlight w:val="none"/>
          <w:lang w:eastAsia="zh-CN"/>
        </w:rPr>
        <w:t>响应文件提交截止时间</w:t>
      </w:r>
      <w:r>
        <w:rPr>
          <w:rFonts w:hint="eastAsia" w:ascii="宋体" w:hAnsi="宋体" w:cs="宋体"/>
          <w:color w:val="auto"/>
          <w:szCs w:val="21"/>
          <w:highlight w:val="none"/>
        </w:rPr>
        <w:t>前将加密电子响应文件上传至交易中心系统的指定位置，其</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将被拒绝。</w:t>
      </w:r>
    </w:p>
    <w:p w14:paraId="2704F22C">
      <w:pPr>
        <w:pStyle w:val="46"/>
        <w:spacing w:line="360" w:lineRule="auto"/>
        <w:outlineLvl w:val="0"/>
        <w:rPr>
          <w:rFonts w:ascii="宋体" w:hAnsi="宋体"/>
          <w:b/>
          <w:bCs/>
          <w:color w:val="auto"/>
          <w:szCs w:val="28"/>
          <w:highlight w:val="none"/>
        </w:rPr>
      </w:pPr>
      <w:bookmarkStart w:id="449" w:name="_Toc152042335"/>
      <w:bookmarkStart w:id="450" w:name="_Toc152045559"/>
      <w:bookmarkStart w:id="451" w:name="_Toc144974527"/>
      <w:bookmarkStart w:id="452" w:name="_Toc22703"/>
      <w:bookmarkStart w:id="453" w:name="_Toc455080135"/>
      <w:bookmarkStart w:id="454" w:name="_Toc19023"/>
      <w:bookmarkStart w:id="455" w:name="_Toc2135"/>
      <w:r>
        <w:rPr>
          <w:rFonts w:hint="eastAsia" w:ascii="宋体" w:hAnsi="宋体"/>
          <w:b/>
          <w:bCs/>
          <w:color w:val="auto"/>
          <w:szCs w:val="28"/>
          <w:highlight w:val="none"/>
        </w:rPr>
        <w:t>5.</w:t>
      </w:r>
      <w:bookmarkEnd w:id="449"/>
      <w:bookmarkEnd w:id="450"/>
      <w:bookmarkEnd w:id="451"/>
      <w:r>
        <w:rPr>
          <w:rFonts w:hint="eastAsia" w:ascii="宋体" w:hAnsi="宋体"/>
          <w:b/>
          <w:bCs/>
          <w:color w:val="auto"/>
          <w:szCs w:val="28"/>
          <w:highlight w:val="none"/>
        </w:rPr>
        <w:t>磋商开始</w:t>
      </w:r>
      <w:bookmarkEnd w:id="452"/>
      <w:bookmarkEnd w:id="453"/>
      <w:bookmarkEnd w:id="454"/>
      <w:bookmarkEnd w:id="455"/>
    </w:p>
    <w:p w14:paraId="062143B1">
      <w:pPr>
        <w:spacing w:line="360" w:lineRule="auto"/>
        <w:outlineLvl w:val="1"/>
        <w:rPr>
          <w:rFonts w:ascii="宋体" w:hAnsi="宋体" w:cs="宋体"/>
          <w:b/>
          <w:bCs/>
          <w:color w:val="auto"/>
          <w:highlight w:val="none"/>
        </w:rPr>
      </w:pPr>
      <w:bookmarkStart w:id="456" w:name="_Toc490667856"/>
      <w:bookmarkStart w:id="457" w:name="_Toc144974528"/>
      <w:bookmarkStart w:id="458" w:name="_Toc20660"/>
      <w:bookmarkStart w:id="459" w:name="_Toc152045560"/>
      <w:bookmarkStart w:id="460" w:name="_Toc466298119"/>
      <w:bookmarkStart w:id="461" w:name="_Toc20333"/>
      <w:bookmarkStart w:id="462" w:name="_Toc455080136"/>
      <w:bookmarkStart w:id="463" w:name="_Toc25533"/>
      <w:bookmarkStart w:id="464" w:name="_Toc318450703"/>
      <w:bookmarkStart w:id="465" w:name="_Toc25809"/>
      <w:bookmarkStart w:id="466" w:name="_Toc152042336"/>
      <w:bookmarkStart w:id="467" w:name="_Toc6763"/>
      <w:bookmarkStart w:id="468" w:name="_Toc14"/>
      <w:bookmarkStart w:id="469" w:name="_Toc16040"/>
      <w:bookmarkStart w:id="470" w:name="_Toc455867796"/>
      <w:bookmarkStart w:id="471" w:name="_Toc26426"/>
      <w:bookmarkStart w:id="472" w:name="_Toc9969"/>
      <w:r>
        <w:rPr>
          <w:rFonts w:hint="eastAsia" w:ascii="宋体" w:hAnsi="宋体" w:cs="宋体"/>
          <w:b/>
          <w:bCs/>
          <w:color w:val="auto"/>
          <w:highlight w:val="none"/>
        </w:rPr>
        <w:t>5.1 磋商时间和地点</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48118990">
      <w:pPr>
        <w:spacing w:line="360" w:lineRule="auto"/>
        <w:ind w:firstLine="420" w:firstLineChars="200"/>
        <w:rPr>
          <w:rFonts w:ascii="宋体" w:hAnsi="宋体" w:cs="宋体"/>
          <w:bCs/>
          <w:color w:val="auto"/>
          <w:szCs w:val="21"/>
          <w:highlight w:val="none"/>
        </w:rPr>
      </w:pPr>
      <w:bookmarkStart w:id="473" w:name="_Toc3865"/>
      <w:bookmarkStart w:id="474" w:name="_Toc144974529"/>
      <w:bookmarkStart w:id="475" w:name="_Toc30965"/>
      <w:bookmarkStart w:id="476" w:name="_Toc17491"/>
      <w:bookmarkStart w:id="477" w:name="_Toc11148"/>
      <w:bookmarkStart w:id="478" w:name="_Toc152042337"/>
      <w:bookmarkStart w:id="479" w:name="_Toc152045561"/>
      <w:bookmarkStart w:id="480" w:name="_Toc25911"/>
      <w:bookmarkStart w:id="481" w:name="_Toc318450704"/>
      <w:bookmarkStart w:id="482" w:name="_Toc455080137"/>
      <w:bookmarkStart w:id="483" w:name="_Toc30074"/>
      <w:r>
        <w:rPr>
          <w:rFonts w:hint="eastAsia" w:ascii="宋体" w:hAnsi="宋体" w:cs="宋体"/>
          <w:bCs/>
          <w:color w:val="auto"/>
          <w:szCs w:val="21"/>
          <w:highlight w:val="none"/>
        </w:rPr>
        <w:t>采购代理机构将在“</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须知前附表”规定的时间和地点组织</w:t>
      </w:r>
      <w:r>
        <w:rPr>
          <w:rFonts w:hint="eastAsia" w:ascii="宋体" w:hAnsi="宋体" w:cs="宋体"/>
          <w:bCs/>
          <w:color w:val="auto"/>
          <w:szCs w:val="21"/>
          <w:highlight w:val="none"/>
          <w:lang w:eastAsia="zh-CN"/>
        </w:rPr>
        <w:t>竞争性磋商活动</w:t>
      </w:r>
      <w:r>
        <w:rPr>
          <w:rFonts w:hint="eastAsia" w:ascii="宋体" w:hAnsi="宋体" w:cs="宋体"/>
          <w:bCs/>
          <w:color w:val="auto"/>
          <w:szCs w:val="21"/>
          <w:highlight w:val="none"/>
        </w:rPr>
        <w:t>。</w:t>
      </w:r>
    </w:p>
    <w:p w14:paraId="7787516F">
      <w:pPr>
        <w:spacing w:line="360" w:lineRule="auto"/>
        <w:outlineLvl w:val="1"/>
        <w:rPr>
          <w:rFonts w:ascii="宋体" w:hAnsi="宋体" w:cs="宋体"/>
          <w:b/>
          <w:bCs/>
          <w:color w:val="auto"/>
          <w:highlight w:val="none"/>
        </w:rPr>
      </w:pPr>
      <w:bookmarkStart w:id="484" w:name="_Toc747"/>
      <w:bookmarkStart w:id="485" w:name="_Toc30792"/>
      <w:bookmarkStart w:id="486" w:name="_Toc18582"/>
      <w:bookmarkStart w:id="487" w:name="_Toc466298120"/>
      <w:bookmarkStart w:id="488" w:name="_Toc490667857"/>
      <w:bookmarkStart w:id="489" w:name="_Toc455867797"/>
      <w:r>
        <w:rPr>
          <w:rFonts w:hint="eastAsia" w:ascii="宋体" w:hAnsi="宋体" w:cs="宋体"/>
          <w:b/>
          <w:bCs/>
          <w:color w:val="auto"/>
          <w:highlight w:val="none"/>
        </w:rPr>
        <w:t>5.2 磋商程序</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7FC3072">
      <w:pPr>
        <w:spacing w:line="360" w:lineRule="auto"/>
        <w:ind w:firstLine="420" w:firstLineChars="200"/>
        <w:rPr>
          <w:rFonts w:ascii="宋体" w:hAnsi="宋体" w:cs="宋体"/>
          <w:color w:val="auto"/>
          <w:szCs w:val="21"/>
          <w:highlight w:val="none"/>
        </w:rPr>
      </w:pPr>
      <w:bookmarkStart w:id="490" w:name="_Toc152042338"/>
      <w:bookmarkStart w:id="491" w:name="_Toc152045562"/>
      <w:bookmarkStart w:id="492" w:name="_Toc144974530"/>
      <w:r>
        <w:rPr>
          <w:rFonts w:hint="eastAsia" w:ascii="宋体" w:hAnsi="宋体" w:cs="宋体"/>
          <w:color w:val="auto"/>
          <w:szCs w:val="21"/>
          <w:highlight w:val="none"/>
        </w:rPr>
        <w:t>5.2.1、磋商小组对磋商文件进行熟悉确认。</w:t>
      </w:r>
    </w:p>
    <w:p w14:paraId="568979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5.2.2、磋商小组推选组长，讨论、通过磋商工作流程和磋商要点。</w:t>
      </w:r>
    </w:p>
    <w:p w14:paraId="020F6D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5.2.3、形式评审审查：磋商开始后，磋商小组依据磋商文件规定，对响应文件中的形式评审进行审查，以确定磋商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是否具备参与磋商的资格。</w:t>
      </w:r>
    </w:p>
    <w:p w14:paraId="1D0C8B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5.2.4、资格评审审查：磋商开始后，磋商小组依据磋商文件规定，对通过形式评审的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进行审查，以确定磋商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是否具备参与磋商的资格。</w:t>
      </w:r>
    </w:p>
    <w:p w14:paraId="69083F40">
      <w:pPr>
        <w:spacing w:line="360" w:lineRule="auto"/>
        <w:ind w:left="420" w:leftChars="200" w:firstLine="52" w:firstLineChars="25"/>
        <w:rPr>
          <w:rFonts w:hint="eastAsia" w:ascii="宋体" w:hAnsi="宋体" w:cs="宋体"/>
          <w:color w:val="auto"/>
          <w:szCs w:val="21"/>
          <w:highlight w:val="none"/>
        </w:rPr>
      </w:pPr>
      <w:r>
        <w:rPr>
          <w:rFonts w:hint="eastAsia" w:ascii="宋体" w:hAnsi="宋体" w:cs="宋体"/>
          <w:color w:val="auto"/>
          <w:szCs w:val="21"/>
          <w:highlight w:val="none"/>
        </w:rPr>
        <w:t>5.2.5、符合性评审审查：磋商开始后，磋商小组依据磋商文件规定，对通过资格评审的投</w:t>
      </w:r>
    </w:p>
    <w:p w14:paraId="2A4BFAA2">
      <w:pPr>
        <w:spacing w:line="360" w:lineRule="auto"/>
        <w:rPr>
          <w:rFonts w:ascii="宋体" w:hAnsi="宋体" w:cs="宋体"/>
          <w:color w:val="auto"/>
          <w:szCs w:val="21"/>
          <w:highlight w:val="none"/>
        </w:rPr>
      </w:pPr>
      <w:r>
        <w:rPr>
          <w:rFonts w:hint="eastAsia" w:ascii="宋体" w:hAnsi="宋体" w:cs="宋体"/>
          <w:color w:val="auto"/>
          <w:szCs w:val="21"/>
          <w:highlight w:val="none"/>
        </w:rPr>
        <w:t>标人进行审查，以确定磋商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是否具备参与磋商的资格。</w:t>
      </w:r>
    </w:p>
    <w:p w14:paraId="41BF1971">
      <w:pPr>
        <w:spacing w:line="360" w:lineRule="auto"/>
        <w:ind w:left="420" w:leftChars="200" w:firstLine="52" w:firstLineChars="25"/>
        <w:rPr>
          <w:rFonts w:hint="eastAsia" w:ascii="宋体" w:hAnsi="宋体" w:cs="宋体"/>
          <w:color w:val="auto"/>
          <w:szCs w:val="21"/>
          <w:highlight w:val="none"/>
        </w:rPr>
      </w:pPr>
      <w:r>
        <w:rPr>
          <w:rFonts w:hint="eastAsia" w:ascii="宋体" w:hAnsi="宋体" w:cs="宋体"/>
          <w:color w:val="auto"/>
          <w:szCs w:val="21"/>
          <w:highlight w:val="none"/>
        </w:rPr>
        <w:t>5.2.6、磋商小组对通过资格性和符合性审查的响应文件进行评估，确定与各竞标人磋商的</w:t>
      </w:r>
    </w:p>
    <w:p w14:paraId="22DC0A48">
      <w:pPr>
        <w:spacing w:line="360" w:lineRule="auto"/>
        <w:rPr>
          <w:rFonts w:ascii="宋体" w:hAnsi="宋体" w:cs="宋体"/>
          <w:color w:val="auto"/>
          <w:szCs w:val="21"/>
          <w:highlight w:val="none"/>
        </w:rPr>
      </w:pPr>
      <w:r>
        <w:rPr>
          <w:rFonts w:hint="eastAsia" w:ascii="宋体" w:hAnsi="宋体" w:cs="宋体"/>
          <w:color w:val="auto"/>
          <w:szCs w:val="21"/>
          <w:highlight w:val="none"/>
        </w:rPr>
        <w:t>具体内容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让供应商进行二次报价</w:t>
      </w:r>
      <w:r>
        <w:rPr>
          <w:rFonts w:hint="eastAsia" w:ascii="宋体" w:hAnsi="宋体" w:cs="宋体"/>
          <w:color w:val="auto"/>
          <w:szCs w:val="21"/>
          <w:highlight w:val="none"/>
        </w:rPr>
        <w:t>。</w:t>
      </w:r>
    </w:p>
    <w:p w14:paraId="41A91E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磋商过程中，磋商小组可以根据磋商情况实质性变动采购需求中的技术、服务要求以及合同草案条款，但不得变动磋商文件中的其他内容。实质性变动的内容需经采购人(业主)代表确认。并以书面形式通知所有参加磋商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，该变动是磋商文件的有效组成部分。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应当按照磋商文件的变动情况和磋商小组的要求重新提交响应文件并由其法定代表人或其授权代表签字或者加盖公章。由授权代表签字的应当附法定代表人授权书。</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为自然人的应当由本人签字并附身份证。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应根据磋商小组的要求，以书面形式在规定时间内做出响应，未做出响应的响应文件将被视为无效竞标。若磋商小组没有实质性变动采购需求中的技术、服务要求以及合同草案条款，则</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的最后报价不得高于首次报价，否则按废标处理。</w:t>
      </w:r>
    </w:p>
    <w:p w14:paraId="37B4CA0B">
      <w:pPr>
        <w:spacing w:line="360" w:lineRule="auto"/>
        <w:ind w:firstLine="420" w:firstLineChars="200"/>
        <w:rPr>
          <w:rFonts w:hint="eastAsia" w:ascii="宋体" w:hAnsi="宋体" w:eastAsia="宋体" w:cs="宋体"/>
          <w:color w:val="auto"/>
          <w:szCs w:val="21"/>
          <w:highlight w:val="none"/>
          <w:lang w:eastAsia="zh"/>
          <w:woUserID w:val="1"/>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、磋商小组对符合采购需求的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进行两轮报价；</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只有通过形式评审、资格评审、符合性评审后方可进入下一轮报价，在规定的时间内同时提交报价，</w:t>
      </w:r>
      <w:r>
        <w:rPr>
          <w:rFonts w:hint="eastAsia" w:ascii="宋体" w:hAnsi="宋体" w:cs="宋体"/>
          <w:color w:val="auto"/>
          <w:szCs w:val="21"/>
          <w:highlight w:val="none"/>
          <w:lang w:eastAsia="zh"/>
          <w:woUserID w:val="1"/>
        </w:rPr>
        <w:t>在规定时间内没有提交最终报价的供应商视为退出磋商，磋商文件无效。</w:t>
      </w:r>
      <w:r>
        <w:rPr>
          <w:rFonts w:hint="eastAsia" w:ascii="宋体" w:hAnsi="宋体" w:cs="宋体"/>
          <w:color w:val="auto"/>
          <w:szCs w:val="21"/>
          <w:highlight w:val="none"/>
          <w:woUserID w:val="1"/>
        </w:rPr>
        <w:t>最终报价不得超过</w:t>
      </w:r>
      <w:r>
        <w:rPr>
          <w:rFonts w:hint="eastAsia" w:ascii="宋体" w:hAnsi="宋体" w:cs="宋体"/>
          <w:color w:val="auto"/>
          <w:szCs w:val="21"/>
          <w:highlight w:val="none"/>
          <w:lang w:eastAsia="zh"/>
          <w:woUserID w:val="1"/>
        </w:rPr>
        <w:t>最高限价。</w:t>
      </w:r>
    </w:p>
    <w:p w14:paraId="6C9CDC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、经磋商确定最终采购需求，由磋商小组采用综合评分法对通过初步评审的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的响应文件进行综合评分。</w:t>
      </w:r>
    </w:p>
    <w:p w14:paraId="75FAC78A">
      <w:pPr>
        <w:pStyle w:val="46"/>
        <w:spacing w:line="360" w:lineRule="auto"/>
        <w:outlineLvl w:val="0"/>
        <w:rPr>
          <w:rFonts w:ascii="宋体" w:hAnsi="宋体"/>
          <w:b/>
          <w:bCs/>
          <w:color w:val="auto"/>
          <w:szCs w:val="28"/>
          <w:highlight w:val="none"/>
        </w:rPr>
      </w:pPr>
      <w:bookmarkStart w:id="493" w:name="_Toc455080138"/>
      <w:bookmarkStart w:id="494" w:name="_Toc30232"/>
      <w:bookmarkStart w:id="495" w:name="_Toc4606"/>
      <w:bookmarkStart w:id="496" w:name="_Toc1503"/>
      <w:r>
        <w:rPr>
          <w:rFonts w:hint="eastAsia" w:ascii="宋体" w:hAnsi="宋体"/>
          <w:b/>
          <w:bCs/>
          <w:color w:val="auto"/>
          <w:szCs w:val="28"/>
          <w:highlight w:val="none"/>
        </w:rPr>
        <w:t>6.</w:t>
      </w:r>
      <w:bookmarkEnd w:id="490"/>
      <w:bookmarkEnd w:id="491"/>
      <w:bookmarkEnd w:id="492"/>
      <w:r>
        <w:rPr>
          <w:rFonts w:hint="eastAsia" w:ascii="宋体" w:hAnsi="宋体"/>
          <w:b/>
          <w:bCs/>
          <w:color w:val="auto"/>
          <w:szCs w:val="28"/>
          <w:highlight w:val="none"/>
        </w:rPr>
        <w:t>磋商</w:t>
      </w:r>
      <w:bookmarkEnd w:id="493"/>
      <w:r>
        <w:rPr>
          <w:rFonts w:hint="eastAsia" w:ascii="宋体" w:hAnsi="宋体"/>
          <w:b/>
          <w:bCs/>
          <w:color w:val="auto"/>
          <w:szCs w:val="28"/>
          <w:highlight w:val="none"/>
        </w:rPr>
        <w:t>小组</w:t>
      </w:r>
      <w:bookmarkEnd w:id="494"/>
      <w:bookmarkEnd w:id="495"/>
      <w:bookmarkEnd w:id="496"/>
    </w:p>
    <w:p w14:paraId="4EB4CC1B">
      <w:pPr>
        <w:spacing w:line="360" w:lineRule="auto"/>
        <w:outlineLvl w:val="1"/>
        <w:rPr>
          <w:rFonts w:ascii="宋体" w:hAnsi="宋体" w:cs="宋体"/>
          <w:b/>
          <w:bCs/>
          <w:color w:val="auto"/>
          <w:highlight w:val="none"/>
        </w:rPr>
      </w:pPr>
      <w:bookmarkStart w:id="497" w:name="_Toc152045563"/>
      <w:bookmarkStart w:id="498" w:name="_Toc152042339"/>
      <w:bookmarkStart w:id="499" w:name="_Toc26098"/>
      <w:bookmarkStart w:id="500" w:name="_Toc9808"/>
      <w:bookmarkStart w:id="501" w:name="_Toc22250"/>
      <w:bookmarkStart w:id="502" w:name="_Toc144974531"/>
      <w:bookmarkStart w:id="503" w:name="_Toc318450706"/>
      <w:bookmarkStart w:id="504" w:name="_Toc1546"/>
      <w:bookmarkStart w:id="505" w:name="_Toc8157"/>
      <w:bookmarkStart w:id="506" w:name="_Toc18985"/>
      <w:bookmarkStart w:id="507" w:name="_Toc466298122"/>
      <w:bookmarkStart w:id="508" w:name="_Toc13978"/>
      <w:bookmarkStart w:id="509" w:name="_Toc1574"/>
      <w:bookmarkStart w:id="510" w:name="_Toc490667859"/>
      <w:bookmarkStart w:id="511" w:name="_Toc455080139"/>
      <w:bookmarkStart w:id="512" w:name="_Toc455867799"/>
      <w:bookmarkStart w:id="513" w:name="_Toc8725"/>
      <w:r>
        <w:rPr>
          <w:rFonts w:hint="eastAsia" w:ascii="宋体" w:hAnsi="宋体" w:cs="宋体"/>
          <w:b/>
          <w:bCs/>
          <w:color w:val="auto"/>
          <w:highlight w:val="none"/>
        </w:rPr>
        <w:t>6.1</w:t>
      </w:r>
      <w:bookmarkEnd w:id="497"/>
      <w:bookmarkEnd w:id="498"/>
      <w:bookmarkEnd w:id="499"/>
      <w:bookmarkEnd w:id="500"/>
      <w:bookmarkEnd w:id="501"/>
      <w:bookmarkEnd w:id="502"/>
      <w:bookmarkEnd w:id="503"/>
      <w:r>
        <w:rPr>
          <w:rFonts w:hint="eastAsia" w:ascii="宋体" w:hAnsi="宋体" w:cs="宋体"/>
          <w:b/>
          <w:bCs/>
          <w:color w:val="auto"/>
          <w:highlight w:val="none"/>
        </w:rPr>
        <w:t>磋商小组</w:t>
      </w:r>
      <w:bookmarkEnd w:id="504"/>
      <w:bookmarkEnd w:id="505"/>
      <w:bookmarkEnd w:id="506"/>
      <w:bookmarkEnd w:id="507"/>
      <w:bookmarkEnd w:id="508"/>
      <w:bookmarkEnd w:id="509"/>
      <w:bookmarkEnd w:id="510"/>
      <w:bookmarkEnd w:id="511"/>
      <w:bookmarkEnd w:id="512"/>
      <w:bookmarkEnd w:id="513"/>
    </w:p>
    <w:p w14:paraId="1D6B7C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磋商由依法组建的磋商小组负责。磋商小组由采购人代表以及有关</w:t>
      </w:r>
      <w:r>
        <w:rPr>
          <w:rFonts w:hint="eastAsia" w:ascii="宋体" w:hAnsi="宋体" w:cs="宋体"/>
          <w:color w:val="auto"/>
          <w:szCs w:val="21"/>
          <w:highlight w:val="none"/>
          <w:lang w:val="en-US" w:eastAsia="zh-CN"/>
        </w:rPr>
        <w:t>专家评委</w:t>
      </w:r>
      <w:r>
        <w:rPr>
          <w:rFonts w:hint="eastAsia" w:ascii="宋体" w:hAnsi="宋体" w:cs="宋体"/>
          <w:color w:val="auto"/>
          <w:szCs w:val="21"/>
          <w:highlight w:val="none"/>
        </w:rPr>
        <w:t>等方面的专家组成。磋商小组成员人数以及</w:t>
      </w:r>
      <w:r>
        <w:rPr>
          <w:rFonts w:hint="eastAsia" w:ascii="宋体" w:hAnsi="宋体" w:cs="宋体"/>
          <w:color w:val="auto"/>
          <w:szCs w:val="21"/>
          <w:highlight w:val="none"/>
          <w:lang w:val="en-US" w:eastAsia="zh-CN"/>
        </w:rPr>
        <w:t>专家评委</w:t>
      </w:r>
      <w:r>
        <w:rPr>
          <w:rFonts w:hint="eastAsia" w:ascii="宋体" w:hAnsi="宋体" w:cs="宋体"/>
          <w:color w:val="auto"/>
          <w:szCs w:val="21"/>
          <w:highlight w:val="none"/>
        </w:rPr>
        <w:t>等方面的确定方式见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14207E6B">
      <w:pPr>
        <w:spacing w:line="360" w:lineRule="auto"/>
        <w:outlineLvl w:val="1"/>
        <w:rPr>
          <w:rFonts w:ascii="宋体" w:hAnsi="宋体" w:cs="宋体"/>
          <w:b/>
          <w:bCs/>
          <w:color w:val="auto"/>
          <w:highlight w:val="none"/>
        </w:rPr>
      </w:pPr>
      <w:bookmarkStart w:id="514" w:name="_Toc7286"/>
      <w:bookmarkStart w:id="515" w:name="_Toc152045564"/>
      <w:bookmarkStart w:id="516" w:name="_Toc144974532"/>
      <w:bookmarkStart w:id="517" w:name="_Toc8248"/>
      <w:bookmarkStart w:id="518" w:name="_Toc8240"/>
      <w:bookmarkStart w:id="519" w:name="_Toc21102"/>
      <w:bookmarkStart w:id="520" w:name="_Toc22143"/>
      <w:bookmarkStart w:id="521" w:name="_Toc466298123"/>
      <w:bookmarkStart w:id="522" w:name="_Toc13368"/>
      <w:bookmarkStart w:id="523" w:name="_Toc490667860"/>
      <w:bookmarkStart w:id="524" w:name="_Toc455080140"/>
      <w:bookmarkStart w:id="525" w:name="_Toc152042340"/>
      <w:bookmarkStart w:id="526" w:name="_Toc4435"/>
      <w:bookmarkStart w:id="527" w:name="_Toc318450707"/>
      <w:bookmarkStart w:id="528" w:name="_Toc455867800"/>
      <w:bookmarkStart w:id="529" w:name="_Toc9532"/>
      <w:bookmarkStart w:id="530" w:name="_Toc25721"/>
      <w:r>
        <w:rPr>
          <w:rFonts w:hint="eastAsia" w:ascii="宋体" w:hAnsi="宋体" w:cs="宋体"/>
          <w:b/>
          <w:bCs/>
          <w:color w:val="auto"/>
          <w:highlight w:val="none"/>
        </w:rPr>
        <w:t>6.2磋商原则</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12F9A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磋商活动遵循公平、公正、科学和择优的原则。</w:t>
      </w:r>
    </w:p>
    <w:p w14:paraId="3EA25AB3">
      <w:pPr>
        <w:spacing w:line="360" w:lineRule="auto"/>
        <w:outlineLvl w:val="1"/>
        <w:rPr>
          <w:rFonts w:ascii="宋体" w:hAnsi="宋体" w:cs="宋体"/>
          <w:b/>
          <w:bCs/>
          <w:color w:val="auto"/>
          <w:highlight w:val="none"/>
        </w:rPr>
      </w:pPr>
      <w:bookmarkStart w:id="531" w:name="_Toc16725"/>
      <w:bookmarkStart w:id="532" w:name="_Toc8705"/>
      <w:bookmarkStart w:id="533" w:name="_Toc152042341"/>
      <w:bookmarkStart w:id="534" w:name="_Toc15595"/>
      <w:bookmarkStart w:id="535" w:name="_Toc144974533"/>
      <w:bookmarkStart w:id="536" w:name="_Toc318450708"/>
      <w:bookmarkStart w:id="537" w:name="_Toc152045565"/>
      <w:bookmarkStart w:id="538" w:name="_Toc466298124"/>
      <w:bookmarkStart w:id="539" w:name="_Toc490667861"/>
      <w:bookmarkStart w:id="540" w:name="_Toc24358"/>
      <w:bookmarkStart w:id="541" w:name="_Toc455867801"/>
      <w:bookmarkStart w:id="542" w:name="_Toc20062"/>
      <w:bookmarkStart w:id="543" w:name="_Toc455080141"/>
      <w:bookmarkStart w:id="544" w:name="_Toc18756"/>
      <w:bookmarkStart w:id="545" w:name="_Toc27036"/>
      <w:bookmarkStart w:id="546" w:name="_Toc28734"/>
      <w:bookmarkStart w:id="547" w:name="_Toc3606"/>
      <w:r>
        <w:rPr>
          <w:rFonts w:hint="eastAsia" w:ascii="宋体" w:hAnsi="宋体" w:cs="宋体"/>
          <w:b/>
          <w:bCs/>
          <w:color w:val="auto"/>
          <w:highlight w:val="none"/>
        </w:rPr>
        <w:t>6.3</w:t>
      </w:r>
      <w:bookmarkEnd w:id="531"/>
      <w:bookmarkEnd w:id="532"/>
      <w:bookmarkEnd w:id="533"/>
      <w:bookmarkEnd w:id="534"/>
      <w:bookmarkEnd w:id="535"/>
      <w:bookmarkEnd w:id="536"/>
      <w:bookmarkEnd w:id="537"/>
      <w:r>
        <w:rPr>
          <w:rFonts w:hint="eastAsia" w:ascii="宋体" w:hAnsi="宋体" w:cs="宋体"/>
          <w:b/>
          <w:bCs/>
          <w:color w:val="auto"/>
          <w:highlight w:val="none"/>
        </w:rPr>
        <w:t>磋商</w:t>
      </w:r>
      <w:bookmarkEnd w:id="538"/>
      <w:bookmarkEnd w:id="539"/>
      <w:bookmarkEnd w:id="540"/>
      <w:bookmarkEnd w:id="541"/>
      <w:bookmarkEnd w:id="542"/>
      <w:bookmarkEnd w:id="543"/>
      <w:bookmarkEnd w:id="544"/>
      <w:bookmarkEnd w:id="545"/>
      <w:bookmarkEnd w:id="546"/>
      <w:bookmarkEnd w:id="547"/>
    </w:p>
    <w:p w14:paraId="1E7455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磋商小组按照第三章“评审办法”规定的方法、评审因素、标准和程序对响应文件进行评审。第三章“评审办法”没有规定的方法、评审因素和标准，不作为</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依据。</w:t>
      </w:r>
    </w:p>
    <w:p w14:paraId="1B978344">
      <w:pPr>
        <w:pStyle w:val="46"/>
        <w:spacing w:line="360" w:lineRule="auto"/>
        <w:outlineLvl w:val="0"/>
        <w:rPr>
          <w:rFonts w:ascii="宋体" w:hAnsi="宋体"/>
          <w:b/>
          <w:bCs/>
          <w:color w:val="auto"/>
          <w:szCs w:val="28"/>
          <w:highlight w:val="none"/>
        </w:rPr>
      </w:pPr>
      <w:bookmarkStart w:id="548" w:name="_Toc152042342"/>
      <w:bookmarkStart w:id="549" w:name="_Toc17884"/>
      <w:bookmarkStart w:id="550" w:name="_Toc455080142"/>
      <w:bookmarkStart w:id="551" w:name="_Toc15172"/>
      <w:bookmarkStart w:id="552" w:name="_Toc144974534"/>
      <w:bookmarkStart w:id="553" w:name="_Toc2700"/>
      <w:bookmarkStart w:id="554" w:name="_Toc152045566"/>
      <w:r>
        <w:rPr>
          <w:rFonts w:hint="eastAsia" w:ascii="宋体" w:hAnsi="宋体"/>
          <w:b/>
          <w:bCs/>
          <w:color w:val="auto"/>
          <w:szCs w:val="28"/>
          <w:highlight w:val="none"/>
        </w:rPr>
        <w:t>7.合同授予</w:t>
      </w:r>
      <w:bookmarkEnd w:id="548"/>
      <w:bookmarkEnd w:id="549"/>
      <w:bookmarkEnd w:id="550"/>
      <w:bookmarkEnd w:id="551"/>
      <w:bookmarkEnd w:id="552"/>
      <w:bookmarkEnd w:id="553"/>
      <w:bookmarkEnd w:id="554"/>
    </w:p>
    <w:p w14:paraId="5B10BE8B">
      <w:pPr>
        <w:spacing w:line="360" w:lineRule="auto"/>
        <w:outlineLvl w:val="1"/>
        <w:rPr>
          <w:rFonts w:ascii="宋体" w:hAnsi="宋体" w:cs="宋体"/>
          <w:b/>
          <w:bCs/>
          <w:color w:val="auto"/>
          <w:highlight w:val="none"/>
        </w:rPr>
      </w:pPr>
      <w:bookmarkStart w:id="555" w:name="_Toc455080143"/>
      <w:bookmarkStart w:id="556" w:name="_Toc11409"/>
      <w:bookmarkStart w:id="557" w:name="_Toc318450710"/>
      <w:bookmarkStart w:id="558" w:name="_Toc455867803"/>
      <w:bookmarkStart w:id="559" w:name="_Toc20777"/>
      <w:bookmarkStart w:id="560" w:name="_Toc152045567"/>
      <w:bookmarkStart w:id="561" w:name="_Toc14528"/>
      <w:bookmarkStart w:id="562" w:name="_Toc144974535"/>
      <w:bookmarkStart w:id="563" w:name="_Toc490667863"/>
      <w:bookmarkStart w:id="564" w:name="_Toc466298126"/>
      <w:bookmarkStart w:id="565" w:name="_Toc29664"/>
      <w:bookmarkStart w:id="566" w:name="_Toc17660"/>
      <w:bookmarkStart w:id="567" w:name="_Toc7358"/>
      <w:bookmarkStart w:id="568" w:name="_Toc22461"/>
      <w:bookmarkStart w:id="569" w:name="_Toc28919"/>
      <w:bookmarkStart w:id="570" w:name="_Toc152042343"/>
      <w:bookmarkStart w:id="571" w:name="_Toc25316"/>
      <w:r>
        <w:rPr>
          <w:rFonts w:hint="eastAsia" w:ascii="宋体" w:hAnsi="宋体" w:cs="宋体"/>
          <w:b/>
          <w:bCs/>
          <w:color w:val="auto"/>
          <w:highlight w:val="none"/>
        </w:rPr>
        <w:t>7.1 定标方式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38A027DB">
      <w:pPr>
        <w:spacing w:line="360" w:lineRule="auto"/>
        <w:ind w:firstLine="420" w:firstLineChars="200"/>
        <w:rPr>
          <w:rFonts w:ascii="宋体" w:hAnsi="宋体" w:cs="宋体"/>
          <w:color w:val="auto"/>
          <w:szCs w:val="21"/>
          <w:highlight w:val="none"/>
        </w:rPr>
      </w:pPr>
      <w:bookmarkStart w:id="572" w:name="_Toc144974536"/>
      <w:bookmarkStart w:id="573" w:name="_Toc7066"/>
      <w:bookmarkStart w:id="574" w:name="_Toc28254"/>
      <w:bookmarkStart w:id="575" w:name="_Toc10868"/>
      <w:bookmarkStart w:id="576" w:name="_Toc152045568"/>
      <w:bookmarkStart w:id="577" w:name="_Toc152042344"/>
      <w:bookmarkStart w:id="578" w:name="_Toc318450711"/>
      <w:r>
        <w:rPr>
          <w:rFonts w:hint="eastAsia" w:ascii="宋体" w:hAnsi="宋体" w:cs="宋体"/>
          <w:color w:val="auto"/>
          <w:szCs w:val="21"/>
          <w:highlight w:val="none"/>
        </w:rPr>
        <w:t>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须知前附表规定磋商小组直接确定成交人外，采购人依据磋商小组推荐的成交候选人确定成交人，磋商小组推荐成交候选人的人数见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须知前附表。采购人将依序确定排名第一的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C185020">
      <w:pPr>
        <w:spacing w:line="360" w:lineRule="auto"/>
        <w:outlineLvl w:val="1"/>
        <w:rPr>
          <w:rFonts w:ascii="宋体" w:hAnsi="宋体" w:cs="宋体"/>
          <w:b/>
          <w:bCs/>
          <w:color w:val="auto"/>
          <w:highlight w:val="none"/>
        </w:rPr>
      </w:pPr>
      <w:bookmarkStart w:id="579" w:name="_Toc5428"/>
      <w:bookmarkStart w:id="580" w:name="_Toc455080144"/>
      <w:bookmarkStart w:id="581" w:name="_Toc16163"/>
      <w:bookmarkStart w:id="582" w:name="_Toc455867804"/>
      <w:bookmarkStart w:id="583" w:name="_Toc9897"/>
      <w:bookmarkStart w:id="584" w:name="_Toc466298127"/>
      <w:bookmarkStart w:id="585" w:name="_Toc28177"/>
      <w:bookmarkStart w:id="586" w:name="_Toc15825"/>
      <w:bookmarkStart w:id="587" w:name="_Toc5668"/>
      <w:bookmarkStart w:id="588" w:name="_Toc490667864"/>
      <w:r>
        <w:rPr>
          <w:rFonts w:hint="eastAsia" w:ascii="宋体" w:hAnsi="宋体" w:cs="宋体"/>
          <w:b/>
          <w:bCs/>
          <w:color w:val="auto"/>
          <w:highlight w:val="none"/>
        </w:rPr>
        <w:t>7.2 成交通知</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76E66B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7.2.1采购代理机构应当在</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结束后2个工作日内将评审报告送采购人。采购人应当自收到评审报告之日起5个工作日内，在评审报告确定的中标候选人名单中按顺序确定中标人。</w:t>
      </w:r>
    </w:p>
    <w:p w14:paraId="0B1569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7.2.2采购人或者采购代理机构应当自中标人确定之日起2个工作日内，在省级以上财政部门指定的媒体上公告中标结果同时向中标（成交）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发出中标（成交）通知书，采购文件应当随中标结果同时公告。中标公告期限为1个工作日。</w:t>
      </w:r>
    </w:p>
    <w:p w14:paraId="7ED210DB">
      <w:pPr>
        <w:spacing w:line="360" w:lineRule="auto"/>
        <w:outlineLvl w:val="1"/>
        <w:rPr>
          <w:rFonts w:ascii="宋体" w:hAnsi="宋体" w:cs="宋体"/>
          <w:b/>
          <w:bCs/>
          <w:color w:val="auto"/>
          <w:highlight w:val="none"/>
        </w:rPr>
      </w:pPr>
      <w:bookmarkStart w:id="589" w:name="_Toc455080145"/>
      <w:bookmarkStart w:id="590" w:name="_Toc15458"/>
      <w:bookmarkStart w:id="591" w:name="_Toc152042346"/>
      <w:bookmarkStart w:id="592" w:name="_Toc466298128"/>
      <w:bookmarkStart w:id="593" w:name="_Toc8886"/>
      <w:bookmarkStart w:id="594" w:name="_Toc455867805"/>
      <w:bookmarkStart w:id="595" w:name="_Toc318450712"/>
      <w:bookmarkStart w:id="596" w:name="_Toc152045570"/>
      <w:bookmarkStart w:id="597" w:name="_Toc26655"/>
      <w:bookmarkStart w:id="598" w:name="_Toc21271"/>
      <w:bookmarkStart w:id="599" w:name="_Toc144974538"/>
      <w:bookmarkStart w:id="600" w:name="_Toc12663"/>
      <w:bookmarkStart w:id="601" w:name="_Toc490667865"/>
      <w:bookmarkStart w:id="602" w:name="_Toc26760"/>
      <w:bookmarkStart w:id="603" w:name="_Toc13147"/>
      <w:bookmarkStart w:id="604" w:name="_Toc24026"/>
      <w:bookmarkStart w:id="605" w:name="_Toc26915"/>
      <w:r>
        <w:rPr>
          <w:rFonts w:hint="eastAsia" w:ascii="宋体" w:hAnsi="宋体" w:cs="宋体"/>
          <w:b/>
          <w:bCs/>
          <w:color w:val="auto"/>
          <w:highlight w:val="none"/>
        </w:rPr>
        <w:t>7.3 签订合同</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4E83D7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7.3.1采购人和成交人应当自成交通知书发出之日起</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日内，根据磋商文件和成交人的响应文件订立书面合同。成交人无正当理由拒签合同的，采购人取消其成交资格；给采购人造成的损失，成交人还应当予以赔偿。</w:t>
      </w:r>
    </w:p>
    <w:p w14:paraId="20318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7.3.2 发出成交通知书后，采购人无正当理由拒签合同，给成交人造成损失的，应当赔偿损失。</w:t>
      </w:r>
      <w:bookmarkStart w:id="606" w:name="_Toc144974542"/>
      <w:bookmarkStart w:id="607" w:name="_Toc152045574"/>
      <w:bookmarkStart w:id="608" w:name="_Toc152042350"/>
    </w:p>
    <w:p w14:paraId="5581AF41">
      <w:pPr>
        <w:pStyle w:val="46"/>
        <w:spacing w:line="360" w:lineRule="auto"/>
        <w:outlineLvl w:val="0"/>
        <w:rPr>
          <w:rFonts w:hint="eastAsia" w:ascii="宋体" w:hAnsi="宋体" w:eastAsia="宋体"/>
          <w:b/>
          <w:bCs/>
          <w:color w:val="auto"/>
          <w:szCs w:val="28"/>
          <w:highlight w:val="none"/>
          <w:lang w:eastAsia="zh-CN"/>
        </w:rPr>
      </w:pPr>
      <w:bookmarkStart w:id="609" w:name="_Toc3707"/>
      <w:bookmarkStart w:id="610" w:name="_Toc30068"/>
      <w:bookmarkStart w:id="611" w:name="_Toc455080146"/>
      <w:bookmarkStart w:id="612" w:name="_Toc31524"/>
      <w:r>
        <w:rPr>
          <w:rFonts w:hint="eastAsia" w:ascii="宋体" w:hAnsi="宋体"/>
          <w:b/>
          <w:bCs/>
          <w:color w:val="auto"/>
          <w:szCs w:val="28"/>
          <w:highlight w:val="none"/>
        </w:rPr>
        <w:t>8.重新</w:t>
      </w:r>
      <w:bookmarkEnd w:id="609"/>
      <w:bookmarkEnd w:id="610"/>
      <w:bookmarkEnd w:id="611"/>
      <w:bookmarkEnd w:id="612"/>
      <w:r>
        <w:rPr>
          <w:rFonts w:hint="eastAsia" w:ascii="宋体" w:hAnsi="宋体"/>
          <w:b/>
          <w:bCs/>
          <w:color w:val="auto"/>
          <w:szCs w:val="28"/>
          <w:highlight w:val="none"/>
          <w:lang w:eastAsia="zh-CN"/>
        </w:rPr>
        <w:t>采购</w:t>
      </w:r>
    </w:p>
    <w:p w14:paraId="12313C43">
      <w:pPr>
        <w:spacing w:line="360" w:lineRule="auto"/>
        <w:outlineLvl w:val="1"/>
        <w:rPr>
          <w:rFonts w:hint="eastAsia" w:ascii="宋体" w:hAnsi="宋体" w:eastAsia="宋体" w:cs="宋体"/>
          <w:b/>
          <w:bCs/>
          <w:color w:val="auto"/>
          <w:highlight w:val="none"/>
          <w:lang w:eastAsia="zh-CN"/>
        </w:rPr>
      </w:pPr>
      <w:bookmarkStart w:id="613" w:name="_Toc16556"/>
      <w:r>
        <w:rPr>
          <w:rFonts w:hint="eastAsia" w:ascii="宋体" w:hAnsi="宋体" w:cs="宋体"/>
          <w:b/>
          <w:bCs/>
          <w:color w:val="auto"/>
          <w:highlight w:val="none"/>
        </w:rPr>
        <w:t>8.1 重新</w:t>
      </w:r>
      <w:bookmarkEnd w:id="613"/>
      <w:r>
        <w:rPr>
          <w:rFonts w:hint="eastAsia" w:ascii="宋体" w:hAnsi="宋体" w:cs="宋体"/>
          <w:b/>
          <w:bCs/>
          <w:color w:val="auto"/>
          <w:highlight w:val="none"/>
          <w:lang w:eastAsia="zh-CN"/>
        </w:rPr>
        <w:t>采购</w:t>
      </w:r>
    </w:p>
    <w:p w14:paraId="75580981">
      <w:pPr>
        <w:spacing w:line="360" w:lineRule="auto"/>
        <w:ind w:firstLine="480"/>
        <w:rPr>
          <w:rFonts w:ascii="宋体" w:hAnsi="宋体" w:cs="宋体"/>
          <w:color w:val="auto"/>
          <w:szCs w:val="21"/>
          <w:highlight w:val="none"/>
        </w:rPr>
      </w:pPr>
      <w:bookmarkStart w:id="614" w:name="_Toc9985"/>
      <w:r>
        <w:rPr>
          <w:rFonts w:hint="eastAsia" w:ascii="宋体" w:hAnsi="宋体" w:cs="宋体"/>
          <w:color w:val="auto"/>
          <w:szCs w:val="21"/>
          <w:highlight w:val="none"/>
        </w:rPr>
        <w:t>有下列情形之一的，采购人将重新</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w:t>
      </w:r>
      <w:bookmarkEnd w:id="614"/>
    </w:p>
    <w:p w14:paraId="7721F7C2">
      <w:pPr>
        <w:spacing w:line="360" w:lineRule="auto"/>
        <w:ind w:firstLine="420" w:firstLineChars="200"/>
        <w:rPr>
          <w:rFonts w:ascii="宋体" w:hAnsi="宋体" w:cs="宋体"/>
          <w:color w:val="auto"/>
          <w:szCs w:val="21"/>
          <w:highlight w:val="none"/>
        </w:rPr>
      </w:pPr>
      <w:bookmarkStart w:id="615" w:name="_Toc25063"/>
      <w:r>
        <w:rPr>
          <w:rFonts w:hint="eastAsia" w:ascii="宋体" w:hAnsi="宋体" w:cs="宋体"/>
          <w:color w:val="auto"/>
          <w:szCs w:val="21"/>
          <w:highlight w:val="none"/>
        </w:rPr>
        <w:t>（1）提交响应文件截止时间止，</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少于3个的；</w:t>
      </w:r>
      <w:bookmarkEnd w:id="615"/>
    </w:p>
    <w:p w14:paraId="56B16802">
      <w:pPr>
        <w:spacing w:line="360" w:lineRule="auto"/>
        <w:ind w:firstLine="420" w:firstLineChars="200"/>
        <w:rPr>
          <w:rFonts w:ascii="宋体" w:hAnsi="宋体" w:cs="宋体"/>
          <w:color w:val="auto"/>
          <w:szCs w:val="21"/>
          <w:highlight w:val="none"/>
        </w:rPr>
      </w:pPr>
      <w:bookmarkStart w:id="616" w:name="_Toc17911"/>
      <w:r>
        <w:rPr>
          <w:rFonts w:hint="eastAsia" w:ascii="宋体" w:hAnsi="宋体" w:cs="宋体"/>
          <w:color w:val="auto"/>
          <w:szCs w:val="21"/>
          <w:highlight w:val="none"/>
        </w:rPr>
        <w:t>（2）经磋商小组评审后否决所有响应文件的。</w:t>
      </w:r>
      <w:bookmarkEnd w:id="616"/>
    </w:p>
    <w:p w14:paraId="0C1939F5">
      <w:pPr>
        <w:pStyle w:val="46"/>
        <w:spacing w:line="360" w:lineRule="auto"/>
        <w:outlineLvl w:val="0"/>
        <w:rPr>
          <w:rFonts w:ascii="宋体" w:hAnsi="宋体"/>
          <w:b/>
          <w:bCs/>
          <w:color w:val="auto"/>
          <w:szCs w:val="28"/>
          <w:highlight w:val="none"/>
        </w:rPr>
      </w:pPr>
      <w:bookmarkStart w:id="617" w:name="_Toc327"/>
      <w:bookmarkStart w:id="618" w:name="_Toc7498"/>
      <w:bookmarkStart w:id="619" w:name="_Toc26812"/>
      <w:bookmarkStart w:id="620" w:name="_Toc455080147"/>
      <w:r>
        <w:rPr>
          <w:rFonts w:hint="eastAsia" w:ascii="宋体" w:hAnsi="宋体"/>
          <w:b/>
          <w:bCs/>
          <w:color w:val="auto"/>
          <w:szCs w:val="28"/>
          <w:highlight w:val="none"/>
        </w:rPr>
        <w:t>9.纪律和监督</w:t>
      </w:r>
      <w:bookmarkEnd w:id="606"/>
      <w:bookmarkEnd w:id="607"/>
      <w:bookmarkEnd w:id="608"/>
      <w:bookmarkEnd w:id="617"/>
      <w:bookmarkEnd w:id="618"/>
      <w:bookmarkEnd w:id="619"/>
      <w:bookmarkEnd w:id="620"/>
    </w:p>
    <w:p w14:paraId="2FCF1865">
      <w:pPr>
        <w:spacing w:line="360" w:lineRule="auto"/>
        <w:outlineLvl w:val="1"/>
        <w:rPr>
          <w:rFonts w:ascii="宋体" w:hAnsi="宋体" w:cs="宋体"/>
          <w:b/>
          <w:bCs/>
          <w:color w:val="auto"/>
          <w:highlight w:val="none"/>
        </w:rPr>
      </w:pPr>
      <w:bookmarkStart w:id="621" w:name="_Toc12992"/>
      <w:bookmarkStart w:id="622" w:name="_Toc490667868"/>
      <w:bookmarkStart w:id="623" w:name="_Toc466298131"/>
      <w:bookmarkStart w:id="624" w:name="_Toc152045575"/>
      <w:bookmarkStart w:id="625" w:name="_Toc455867808"/>
      <w:bookmarkStart w:id="626" w:name="_Toc15592"/>
      <w:bookmarkStart w:id="627" w:name="_Toc1282"/>
      <w:bookmarkStart w:id="628" w:name="_Toc20009"/>
      <w:bookmarkStart w:id="629" w:name="_Toc318450714"/>
      <w:bookmarkStart w:id="630" w:name="_Toc269"/>
      <w:bookmarkStart w:id="631" w:name="_Toc455080148"/>
      <w:bookmarkStart w:id="632" w:name="_Toc19159"/>
      <w:bookmarkStart w:id="633" w:name="_Toc697"/>
      <w:bookmarkStart w:id="634" w:name="_Toc15769"/>
      <w:bookmarkStart w:id="635" w:name="_Toc13970"/>
      <w:bookmarkStart w:id="636" w:name="_Toc152042351"/>
      <w:bookmarkStart w:id="637" w:name="_Toc144974543"/>
      <w:r>
        <w:rPr>
          <w:rFonts w:hint="eastAsia" w:ascii="宋体" w:hAnsi="宋体" w:cs="宋体"/>
          <w:b/>
          <w:bCs/>
          <w:color w:val="auto"/>
          <w:highlight w:val="none"/>
        </w:rPr>
        <w:t>9.1 对采购人的纪律要求</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2230F0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采购人不得泄漏磋商活动中应当保密的情况和资料，不得与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串通损害国家利益、社会公共利益或者他人合法权益。</w:t>
      </w:r>
    </w:p>
    <w:p w14:paraId="4E3BC26F">
      <w:pPr>
        <w:spacing w:line="360" w:lineRule="auto"/>
        <w:outlineLvl w:val="1"/>
        <w:rPr>
          <w:rFonts w:ascii="宋体" w:hAnsi="宋体" w:cs="宋体"/>
          <w:b/>
          <w:bCs/>
          <w:color w:val="auto"/>
          <w:highlight w:val="none"/>
        </w:rPr>
      </w:pPr>
      <w:bookmarkStart w:id="638" w:name="_Toc144974544"/>
      <w:bookmarkStart w:id="639" w:name="_Toc1743"/>
      <w:bookmarkStart w:id="640" w:name="_Toc7572"/>
      <w:bookmarkStart w:id="641" w:name="_Toc152042352"/>
      <w:bookmarkStart w:id="642" w:name="_Toc466298132"/>
      <w:bookmarkStart w:id="643" w:name="_Toc27698"/>
      <w:bookmarkStart w:id="644" w:name="_Toc490667869"/>
      <w:bookmarkStart w:id="645" w:name="_Toc455080149"/>
      <w:bookmarkStart w:id="646" w:name="_Toc18204"/>
      <w:bookmarkStart w:id="647" w:name="_Toc455867809"/>
      <w:bookmarkStart w:id="648" w:name="_Toc152045576"/>
      <w:bookmarkStart w:id="649" w:name="_Toc318450715"/>
      <w:bookmarkStart w:id="650" w:name="_Toc3089"/>
      <w:bookmarkStart w:id="651" w:name="_Toc19167"/>
      <w:bookmarkStart w:id="652" w:name="_Toc18604"/>
      <w:bookmarkStart w:id="653" w:name="_Toc20261"/>
      <w:bookmarkStart w:id="654" w:name="_Toc21646"/>
      <w:r>
        <w:rPr>
          <w:rFonts w:hint="eastAsia" w:ascii="宋体" w:hAnsi="宋体" w:cs="宋体"/>
          <w:b/>
          <w:bCs/>
          <w:color w:val="auto"/>
          <w:highlight w:val="none"/>
        </w:rPr>
        <w:t>9.2 对</w:t>
      </w:r>
      <w:r>
        <w:rPr>
          <w:rFonts w:hint="eastAsia" w:ascii="宋体" w:hAnsi="宋体" w:cs="宋体"/>
          <w:b/>
          <w:bCs/>
          <w:color w:val="auto"/>
          <w:highlight w:val="none"/>
          <w:lang w:eastAsia="zh-CN"/>
        </w:rPr>
        <w:t>供应商</w:t>
      </w:r>
      <w:r>
        <w:rPr>
          <w:rFonts w:hint="eastAsia" w:ascii="宋体" w:hAnsi="宋体" w:cs="宋体"/>
          <w:b/>
          <w:bCs/>
          <w:color w:val="auto"/>
          <w:highlight w:val="none"/>
        </w:rPr>
        <w:t>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5A0CE3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不得相互串通或者与采购人串通，不得向采购人或者磋商组行贿谋取成交，不得以他人名义或者以其他方式弄虚作假骗取成交；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不得以任何方式干扰、影响评审工作。</w:t>
      </w:r>
    </w:p>
    <w:p w14:paraId="737D7E00">
      <w:pPr>
        <w:spacing w:line="360" w:lineRule="auto"/>
        <w:outlineLvl w:val="1"/>
        <w:rPr>
          <w:rFonts w:ascii="宋体" w:hAnsi="宋体" w:cs="宋体"/>
          <w:b/>
          <w:bCs/>
          <w:color w:val="auto"/>
          <w:highlight w:val="none"/>
        </w:rPr>
      </w:pPr>
      <w:bookmarkStart w:id="655" w:name="_Toc30153"/>
      <w:bookmarkStart w:id="656" w:name="_Toc490667870"/>
      <w:bookmarkStart w:id="657" w:name="_Toc152045577"/>
      <w:bookmarkStart w:id="658" w:name="_Toc7107"/>
      <w:bookmarkStart w:id="659" w:name="_Toc152042353"/>
      <w:bookmarkStart w:id="660" w:name="_Toc455080150"/>
      <w:bookmarkStart w:id="661" w:name="_Toc7439"/>
      <w:bookmarkStart w:id="662" w:name="_Toc32320"/>
      <w:bookmarkStart w:id="663" w:name="_Toc28813"/>
      <w:bookmarkStart w:id="664" w:name="_Toc455867810"/>
      <w:bookmarkStart w:id="665" w:name="_Toc318450716"/>
      <w:bookmarkStart w:id="666" w:name="_Toc466298133"/>
      <w:bookmarkStart w:id="667" w:name="_Toc144974545"/>
      <w:bookmarkStart w:id="668" w:name="_Toc25241"/>
      <w:bookmarkStart w:id="669" w:name="_Toc19965"/>
      <w:bookmarkStart w:id="670" w:name="_Toc25211"/>
      <w:bookmarkStart w:id="671" w:name="_Toc12177"/>
      <w:r>
        <w:rPr>
          <w:rFonts w:hint="eastAsia" w:ascii="宋体" w:hAnsi="宋体" w:cs="宋体"/>
          <w:b/>
          <w:bCs/>
          <w:color w:val="auto"/>
          <w:highlight w:val="none"/>
        </w:rPr>
        <w:t>9.3 对磋商小组成员的纪律要求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745078DD">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磋商小组成员不得收受他人的财物或者其他好处，不得向他人透漏对响应文件的评审和比较、成交候选人的推荐情况以及</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有关的其他情况。在磋商活动中，磋商小组成员不得擅离职守，影响</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程序正常进行，不得使用第三章“评审办法”没有规定的评审因素和标准进行</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w:t>
      </w:r>
    </w:p>
    <w:p w14:paraId="37399C91">
      <w:pPr>
        <w:spacing w:line="360" w:lineRule="auto"/>
        <w:outlineLvl w:val="1"/>
        <w:rPr>
          <w:rFonts w:ascii="宋体" w:hAnsi="宋体" w:cs="宋体"/>
          <w:b/>
          <w:bCs/>
          <w:color w:val="auto"/>
          <w:highlight w:val="none"/>
        </w:rPr>
      </w:pPr>
      <w:bookmarkStart w:id="672" w:name="_Toc235"/>
      <w:bookmarkStart w:id="673" w:name="_Toc27559"/>
      <w:bookmarkStart w:id="674" w:name="_Toc152045578"/>
      <w:bookmarkStart w:id="675" w:name="_Toc466298134"/>
      <w:bookmarkStart w:id="676" w:name="_Toc7368"/>
      <w:bookmarkStart w:id="677" w:name="_Toc19485"/>
      <w:bookmarkStart w:id="678" w:name="_Toc318450717"/>
      <w:bookmarkStart w:id="679" w:name="_Toc9063"/>
      <w:bookmarkStart w:id="680" w:name="_Toc24"/>
      <w:bookmarkStart w:id="681" w:name="_Toc20546"/>
      <w:bookmarkStart w:id="682" w:name="_Toc23717"/>
      <w:bookmarkStart w:id="683" w:name="_Toc455867811"/>
      <w:bookmarkStart w:id="684" w:name="_Toc490667871"/>
      <w:bookmarkStart w:id="685" w:name="_Toc455080151"/>
      <w:bookmarkStart w:id="686" w:name="_Toc152042354"/>
      <w:bookmarkStart w:id="687" w:name="_Toc1295"/>
      <w:bookmarkStart w:id="688" w:name="_Toc144974546"/>
      <w:r>
        <w:rPr>
          <w:rFonts w:hint="eastAsia" w:ascii="宋体" w:hAnsi="宋体" w:cs="宋体"/>
          <w:b/>
          <w:bCs/>
          <w:color w:val="auto"/>
          <w:highlight w:val="none"/>
        </w:rPr>
        <w:t>9.4 对与</w:t>
      </w:r>
      <w:r>
        <w:rPr>
          <w:rFonts w:hint="eastAsia" w:ascii="宋体" w:hAnsi="宋体" w:cs="宋体"/>
          <w:b/>
          <w:bCs/>
          <w:color w:val="auto"/>
          <w:highlight w:val="none"/>
          <w:lang w:eastAsia="zh-CN"/>
        </w:rPr>
        <w:t>评审</w:t>
      </w:r>
      <w:r>
        <w:rPr>
          <w:rFonts w:hint="eastAsia" w:ascii="宋体" w:hAnsi="宋体" w:cs="宋体"/>
          <w:b/>
          <w:bCs/>
          <w:color w:val="auto"/>
          <w:highlight w:val="none"/>
        </w:rPr>
        <w:t>活动有关的工作人员的纪律要求</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54E84350">
      <w:pPr>
        <w:spacing w:line="360" w:lineRule="auto"/>
        <w:ind w:firstLine="420" w:firstLineChars="200"/>
        <w:rPr>
          <w:rFonts w:ascii="宋体" w:hAnsi="宋体" w:cs="宋体"/>
          <w:color w:val="auto"/>
          <w:szCs w:val="21"/>
          <w:highlight w:val="none"/>
        </w:rPr>
      </w:pPr>
      <w:bookmarkStart w:id="689" w:name="_Toc152042355"/>
      <w:r>
        <w:rPr>
          <w:rFonts w:hint="eastAsia" w:ascii="宋体" w:hAnsi="宋体" w:cs="宋体"/>
          <w:color w:val="auto"/>
          <w:szCs w:val="21"/>
          <w:highlight w:val="none"/>
        </w:rPr>
        <w:t>与</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活动有关的工作人员不得收受他人的财物或者其他好处，不得向他人透漏对响应文件的评审和比较、成交候选人的推荐情况以及</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有关的其他情况。在</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活动中，与</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活动有关的工作人员不得擅离职守，影响</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程序正常进行。</w:t>
      </w:r>
      <w:bookmarkEnd w:id="689"/>
    </w:p>
    <w:p w14:paraId="4A7CA5AD">
      <w:pPr>
        <w:spacing w:line="360" w:lineRule="auto"/>
        <w:outlineLvl w:val="1"/>
        <w:rPr>
          <w:rFonts w:ascii="宋体" w:hAnsi="宋体" w:cs="宋体"/>
          <w:b/>
          <w:bCs/>
          <w:color w:val="auto"/>
          <w:highlight w:val="none"/>
        </w:rPr>
      </w:pPr>
      <w:bookmarkStart w:id="690" w:name="_Toc3617"/>
      <w:bookmarkStart w:id="691" w:name="_Toc455080152"/>
      <w:bookmarkStart w:id="692" w:name="_Toc318450718"/>
      <w:bookmarkStart w:id="693" w:name="_Toc32675"/>
      <w:bookmarkStart w:id="694" w:name="_Toc152045579"/>
      <w:bookmarkStart w:id="695" w:name="_Toc3303"/>
      <w:bookmarkStart w:id="696" w:name="_Toc8074"/>
      <w:bookmarkStart w:id="697" w:name="_Toc5504"/>
      <w:bookmarkStart w:id="698" w:name="_Toc25751"/>
      <w:bookmarkStart w:id="699" w:name="_Toc490667872"/>
      <w:bookmarkStart w:id="700" w:name="_Toc152042356"/>
      <w:bookmarkStart w:id="701" w:name="_Toc17735"/>
      <w:bookmarkStart w:id="702" w:name="_Toc466298135"/>
      <w:bookmarkStart w:id="703" w:name="_Toc1820"/>
      <w:bookmarkStart w:id="704" w:name="_Toc455867812"/>
      <w:bookmarkStart w:id="705" w:name="_Toc6199"/>
      <w:r>
        <w:rPr>
          <w:rFonts w:hint="eastAsia" w:ascii="宋体" w:hAnsi="宋体" w:cs="宋体"/>
          <w:b/>
          <w:bCs/>
          <w:color w:val="auto"/>
          <w:highlight w:val="none"/>
        </w:rPr>
        <w:t>9.5 投诉</w:t>
      </w:r>
      <w:bookmarkEnd w:id="688"/>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026DEA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和其他利害关系人认为本次磋商活动违反法律、法规和规章规定的，有权向有关行政监督部门投诉。</w:t>
      </w:r>
    </w:p>
    <w:p w14:paraId="2F17C9FC">
      <w:pPr>
        <w:pStyle w:val="46"/>
        <w:spacing w:line="360" w:lineRule="auto"/>
        <w:outlineLvl w:val="0"/>
        <w:rPr>
          <w:rFonts w:ascii="宋体" w:hAnsi="宋体"/>
          <w:b/>
          <w:bCs/>
          <w:color w:val="auto"/>
          <w:szCs w:val="28"/>
          <w:highlight w:val="none"/>
        </w:rPr>
      </w:pPr>
      <w:bookmarkStart w:id="706" w:name="_Toc144974547"/>
      <w:bookmarkStart w:id="707" w:name="_Toc152042357"/>
      <w:bookmarkStart w:id="708" w:name="_Toc5120"/>
      <w:bookmarkStart w:id="709" w:name="_Toc8630"/>
      <w:bookmarkStart w:id="710" w:name="_Toc152045580"/>
      <w:bookmarkStart w:id="711" w:name="_Toc455080153"/>
      <w:bookmarkStart w:id="712" w:name="_Toc22890"/>
      <w:r>
        <w:rPr>
          <w:rFonts w:hint="eastAsia" w:ascii="宋体" w:hAnsi="宋体"/>
          <w:b/>
          <w:bCs/>
          <w:color w:val="auto"/>
          <w:szCs w:val="28"/>
          <w:highlight w:val="none"/>
        </w:rPr>
        <w:t>10.需要补充的其他内容</w:t>
      </w:r>
      <w:bookmarkEnd w:id="706"/>
      <w:bookmarkEnd w:id="707"/>
      <w:bookmarkEnd w:id="708"/>
      <w:bookmarkEnd w:id="709"/>
      <w:bookmarkEnd w:id="710"/>
      <w:bookmarkEnd w:id="711"/>
      <w:bookmarkEnd w:id="712"/>
    </w:p>
    <w:p w14:paraId="3CAEA7AD">
      <w:pPr>
        <w:spacing w:line="360" w:lineRule="auto"/>
        <w:ind w:firstLine="420" w:firstLineChars="200"/>
        <w:rPr>
          <w:rFonts w:ascii="宋体" w:hAnsi="宋体" w:cs="宋体"/>
          <w:color w:val="auto"/>
          <w:szCs w:val="21"/>
          <w:highlight w:val="none"/>
        </w:rPr>
      </w:pPr>
      <w:bookmarkStart w:id="713" w:name="_Toc22486"/>
      <w:bookmarkStart w:id="714" w:name="_Toc490667874"/>
      <w:bookmarkStart w:id="715" w:name="_Toc14763"/>
      <w:bookmarkStart w:id="716" w:name="_Toc5176"/>
      <w:bookmarkStart w:id="717" w:name="_Toc455080154"/>
      <w:bookmarkStart w:id="718" w:name="_Toc455867814"/>
      <w:bookmarkStart w:id="719" w:name="_Toc466298137"/>
      <w:r>
        <w:rPr>
          <w:rFonts w:hint="eastAsia" w:ascii="宋体" w:hAnsi="宋体" w:cs="宋体"/>
          <w:color w:val="auto"/>
          <w:szCs w:val="21"/>
          <w:highlight w:val="none"/>
        </w:rPr>
        <w:t>需要补充的其他内容：见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bookmarkEnd w:id="713"/>
      <w:bookmarkEnd w:id="714"/>
      <w:bookmarkEnd w:id="715"/>
      <w:bookmarkEnd w:id="716"/>
      <w:bookmarkStart w:id="720" w:name="_Toc144974565"/>
      <w:bookmarkStart w:id="721" w:name="_Toc152042375"/>
      <w:bookmarkStart w:id="722" w:name="_Toc152045598"/>
    </w:p>
    <w:p w14:paraId="67F02A9E">
      <w:pPr>
        <w:pStyle w:val="2"/>
        <w:numPr>
          <w:ilvl w:val="0"/>
          <w:numId w:val="0"/>
        </w:numPr>
        <w:spacing w:before="120" w:after="120" w:line="360" w:lineRule="auto"/>
        <w:jc w:val="center"/>
        <w:rPr>
          <w:rFonts w:ascii="宋体" w:hAnsi="宋体" w:cs="宋体"/>
          <w:bCs w:val="0"/>
          <w:color w:val="auto"/>
          <w:highlight w:val="none"/>
        </w:rPr>
      </w:pPr>
      <w:r>
        <w:rPr>
          <w:rFonts w:hint="eastAsia" w:ascii="宋体" w:hAnsi="宋体" w:cs="宋体"/>
          <w:color w:val="auto"/>
          <w:highlight w:val="none"/>
        </w:rPr>
        <w:br w:type="page"/>
      </w:r>
      <w:bookmarkStart w:id="723" w:name="_Toc25417"/>
      <w:bookmarkStart w:id="724" w:name="_Toc15326"/>
      <w:bookmarkStart w:id="725" w:name="_Toc24459"/>
      <w:r>
        <w:rPr>
          <w:rFonts w:hint="eastAsia" w:ascii="宋体" w:hAnsi="宋体" w:cs="宋体"/>
          <w:color w:val="auto"/>
          <w:sz w:val="40"/>
          <w:szCs w:val="52"/>
          <w:highlight w:val="none"/>
        </w:rPr>
        <w:t>第三章评审办法（综合评分法）</w:t>
      </w:r>
      <w:bookmarkEnd w:id="717"/>
      <w:bookmarkEnd w:id="718"/>
      <w:bookmarkEnd w:id="719"/>
      <w:bookmarkEnd w:id="723"/>
      <w:bookmarkEnd w:id="724"/>
      <w:bookmarkEnd w:id="725"/>
    </w:p>
    <w:bookmarkEnd w:id="720"/>
    <w:bookmarkEnd w:id="721"/>
    <w:bookmarkEnd w:id="722"/>
    <w:p w14:paraId="57149BF0">
      <w:pPr>
        <w:jc w:val="center"/>
        <w:outlineLvl w:val="1"/>
        <w:rPr>
          <w:rFonts w:ascii="宋体" w:hAnsi="宋体" w:cs="宋体"/>
          <w:b/>
          <w:bCs/>
          <w:color w:val="auto"/>
          <w:sz w:val="32"/>
          <w:szCs w:val="32"/>
          <w:highlight w:val="none"/>
        </w:rPr>
      </w:pPr>
      <w:bookmarkStart w:id="726" w:name="_Toc455080156"/>
      <w:bookmarkStart w:id="727" w:name="_Toc466298139"/>
      <w:bookmarkStart w:id="728" w:name="_Toc455867816"/>
      <w:bookmarkStart w:id="729" w:name="_Toc281405527"/>
      <w:bookmarkStart w:id="730" w:name="_Toc152042376"/>
      <w:bookmarkStart w:id="731" w:name="_Toc27806"/>
      <w:bookmarkStart w:id="732" w:name="_Toc318450721"/>
      <w:bookmarkStart w:id="733" w:name="_Toc144974566"/>
      <w:bookmarkStart w:id="734" w:name="_Toc152045599"/>
      <w:r>
        <w:rPr>
          <w:rFonts w:hint="eastAsia" w:ascii="宋体" w:hAnsi="宋体" w:cs="宋体"/>
          <w:b/>
          <w:bCs/>
          <w:color w:val="auto"/>
          <w:sz w:val="32"/>
          <w:szCs w:val="32"/>
          <w:highlight w:val="none"/>
        </w:rPr>
        <w:t>评审办法前附表</w:t>
      </w:r>
      <w:bookmarkEnd w:id="726"/>
      <w:bookmarkEnd w:id="727"/>
      <w:bookmarkEnd w:id="728"/>
      <w:bookmarkEnd w:id="729"/>
      <w:bookmarkEnd w:id="730"/>
      <w:bookmarkEnd w:id="731"/>
      <w:bookmarkEnd w:id="732"/>
      <w:bookmarkEnd w:id="733"/>
      <w:bookmarkEnd w:id="734"/>
    </w:p>
    <w:tbl>
      <w:tblPr>
        <w:tblStyle w:val="27"/>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725"/>
        <w:gridCol w:w="3074"/>
        <w:gridCol w:w="4400"/>
      </w:tblGrid>
      <w:tr w14:paraId="546D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6" w:type="dxa"/>
            <w:gridSpan w:val="2"/>
            <w:vAlign w:val="center"/>
          </w:tcPr>
          <w:p w14:paraId="740EC7F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条款号</w:t>
            </w:r>
          </w:p>
        </w:tc>
        <w:tc>
          <w:tcPr>
            <w:tcW w:w="3074" w:type="dxa"/>
            <w:vAlign w:val="center"/>
          </w:tcPr>
          <w:p w14:paraId="7B127F2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评审因素</w:t>
            </w:r>
          </w:p>
        </w:tc>
        <w:tc>
          <w:tcPr>
            <w:tcW w:w="4400" w:type="dxa"/>
            <w:vAlign w:val="center"/>
          </w:tcPr>
          <w:p w14:paraId="2F5A4EB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评审标准</w:t>
            </w:r>
          </w:p>
        </w:tc>
      </w:tr>
      <w:tr w14:paraId="511F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81" w:type="dxa"/>
            <w:vMerge w:val="restart"/>
            <w:vAlign w:val="center"/>
          </w:tcPr>
          <w:p w14:paraId="6756E8F1">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2.1.1</w:t>
            </w:r>
          </w:p>
        </w:tc>
        <w:tc>
          <w:tcPr>
            <w:tcW w:w="725" w:type="dxa"/>
            <w:vMerge w:val="restart"/>
            <w:vAlign w:val="center"/>
          </w:tcPr>
          <w:p w14:paraId="6D4C3260">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形式评审标准</w:t>
            </w:r>
          </w:p>
        </w:tc>
        <w:tc>
          <w:tcPr>
            <w:tcW w:w="3074" w:type="dxa"/>
            <w:vAlign w:val="center"/>
          </w:tcPr>
          <w:p w14:paraId="23A6118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p>
        </w:tc>
        <w:tc>
          <w:tcPr>
            <w:tcW w:w="4400" w:type="dxa"/>
            <w:vAlign w:val="center"/>
          </w:tcPr>
          <w:p w14:paraId="10F4106B">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与营业执照、资质证书、安全生产许可证一致</w:t>
            </w:r>
          </w:p>
        </w:tc>
      </w:tr>
      <w:tr w14:paraId="2EBF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0C9793E0">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4FC09530">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3C66089F">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jc w:val="center"/>
              <w:textAlignment w:val="auto"/>
              <w:rPr>
                <w:rFonts w:hint="default"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签字盖章</w:t>
            </w:r>
          </w:p>
        </w:tc>
        <w:tc>
          <w:tcPr>
            <w:tcW w:w="4400" w:type="dxa"/>
            <w:vAlign w:val="center"/>
          </w:tcPr>
          <w:p w14:paraId="4C4B3248">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textAlignment w:val="auto"/>
              <w:rPr>
                <w:rFonts w:hint="default" w:asciiTheme="minorEastAsia" w:hAnsiTheme="minorEastAsia" w:eastAsiaTheme="minorEastAsia" w:cstheme="minorEastAsia"/>
                <w:color w:val="auto"/>
                <w:sz w:val="21"/>
                <w:szCs w:val="21"/>
                <w:highlight w:val="none"/>
              </w:rPr>
            </w:pPr>
            <w:r>
              <w:rPr>
                <w:rFonts w:hint="eastAsia" w:ascii="宋体" w:hAnsi="宋体" w:eastAsia="宋体" w:cs="宋体"/>
                <w:color w:val="auto"/>
                <w:kern w:val="2"/>
                <w:sz w:val="21"/>
                <w:szCs w:val="21"/>
                <w:highlight w:val="none"/>
                <w:woUserID w:val="1"/>
              </w:rPr>
              <w:t>符合磋商文件要求</w:t>
            </w:r>
          </w:p>
        </w:tc>
      </w:tr>
      <w:tr w14:paraId="4724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2607FBB5">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2F8537B9">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3780A188">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报价唯一</w:t>
            </w:r>
          </w:p>
        </w:tc>
        <w:tc>
          <w:tcPr>
            <w:tcW w:w="4400" w:type="dxa"/>
            <w:vAlign w:val="center"/>
          </w:tcPr>
          <w:p w14:paraId="0E0A4BB0">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只能有一个有效报价</w:t>
            </w:r>
          </w:p>
        </w:tc>
      </w:tr>
      <w:tr w14:paraId="36D0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restart"/>
            <w:vAlign w:val="center"/>
          </w:tcPr>
          <w:p w14:paraId="3BE0FAE5">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2.1.2</w:t>
            </w:r>
          </w:p>
        </w:tc>
        <w:tc>
          <w:tcPr>
            <w:tcW w:w="725" w:type="dxa"/>
            <w:vMerge w:val="restart"/>
            <w:vAlign w:val="center"/>
          </w:tcPr>
          <w:p w14:paraId="41A8CFA4">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资格评审标准</w:t>
            </w:r>
          </w:p>
        </w:tc>
        <w:tc>
          <w:tcPr>
            <w:tcW w:w="3074" w:type="dxa"/>
            <w:vAlign w:val="center"/>
          </w:tcPr>
          <w:p w14:paraId="3FD7F9A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营业执照</w:t>
            </w:r>
          </w:p>
        </w:tc>
        <w:tc>
          <w:tcPr>
            <w:tcW w:w="4400" w:type="dxa"/>
            <w:vAlign w:val="center"/>
          </w:tcPr>
          <w:p w14:paraId="257513B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1814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019940BF">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6D80265E">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14081913">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4400" w:type="dxa"/>
            <w:vAlign w:val="center"/>
          </w:tcPr>
          <w:p w14:paraId="08C6F3B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7E3A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1C7C1C6C">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64FDDC41">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254EB8F5">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4400" w:type="dxa"/>
            <w:vAlign w:val="center"/>
          </w:tcPr>
          <w:p w14:paraId="4DD0AA5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1531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12AA3972">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34F1A05E">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1369AC9A">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4400" w:type="dxa"/>
            <w:vAlign w:val="center"/>
          </w:tcPr>
          <w:p w14:paraId="5C3D19A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7EE3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35CCC8CB">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7FDE3E66">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72D4E74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参加本次采购活动前三年内，在经营活动中没有重大违法记录</w:t>
            </w:r>
          </w:p>
        </w:tc>
        <w:tc>
          <w:tcPr>
            <w:tcW w:w="4400" w:type="dxa"/>
            <w:vAlign w:val="center"/>
          </w:tcPr>
          <w:p w14:paraId="3BC48C2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42B0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2598B0D1">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0A6232F5">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4D911DD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资质要求</w:t>
            </w:r>
          </w:p>
        </w:tc>
        <w:tc>
          <w:tcPr>
            <w:tcW w:w="4400" w:type="dxa"/>
            <w:vAlign w:val="center"/>
          </w:tcPr>
          <w:p w14:paraId="7E05557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48D1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6756AFE4">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6CE37832">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2F18F147">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人员要求</w:t>
            </w:r>
          </w:p>
        </w:tc>
        <w:tc>
          <w:tcPr>
            <w:tcW w:w="4400" w:type="dxa"/>
            <w:vAlign w:val="center"/>
          </w:tcPr>
          <w:p w14:paraId="6213F948">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38A8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78ED03D2">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4D7786BA">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17C47E2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信用查询</w:t>
            </w:r>
          </w:p>
        </w:tc>
        <w:tc>
          <w:tcPr>
            <w:tcW w:w="4400" w:type="dxa"/>
            <w:vAlign w:val="center"/>
          </w:tcPr>
          <w:p w14:paraId="0C4BD0D7">
            <w:pPr>
              <w:keepNext w:val="0"/>
              <w:keepLines w:val="0"/>
              <w:suppressLineNumbers w:val="0"/>
              <w:spacing w:before="0" w:beforeAutospacing="0" w:after="0" w:afterAutospacing="0" w:line="400" w:lineRule="exact"/>
              <w:ind w:left="0" w:right="0"/>
              <w:rPr>
                <w:rFonts w:hint="eastAsia" w:ascii="宋体" w:hAnsi="宋体" w:cs="宋体" w:eastAsiaTheme="minorEastAsia"/>
                <w:color w:val="auto"/>
                <w:szCs w:val="21"/>
                <w:highlight w:val="none"/>
                <w:lang w:eastAsia="zh-CN"/>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r>
              <w:rPr>
                <w:rFonts w:hint="eastAsia" w:asciiTheme="minorEastAsia" w:hAnsiTheme="minorEastAsia" w:eastAsiaTheme="minorEastAsia" w:cstheme="minorEastAsia"/>
                <w:color w:val="auto"/>
                <w:sz w:val="21"/>
                <w:szCs w:val="21"/>
                <w:highlight w:val="none"/>
                <w:lang w:eastAsia="zh-CN"/>
              </w:rPr>
              <w:t>（执行</w:t>
            </w:r>
            <w:r>
              <w:rPr>
                <w:rFonts w:hint="eastAsia" w:asciiTheme="minorEastAsia" w:hAnsiTheme="minorEastAsia" w:eastAsiaTheme="minorEastAsia" w:cstheme="minorEastAsia"/>
                <w:color w:val="auto"/>
                <w:sz w:val="21"/>
                <w:szCs w:val="21"/>
                <w:highlight w:val="none"/>
                <w:lang w:val="en-US" w:eastAsia="zh-CN"/>
              </w:rPr>
              <w:t>财库〔2016〕125号相关规定，</w:t>
            </w:r>
            <w:r>
              <w:rPr>
                <w:rFonts w:hint="eastAsia" w:asciiTheme="minorEastAsia" w:hAnsiTheme="minorEastAsia" w:eastAsiaTheme="minorEastAsia" w:cstheme="minorEastAsia"/>
                <w:color w:val="auto"/>
                <w:sz w:val="21"/>
                <w:szCs w:val="21"/>
                <w:highlight w:val="none"/>
                <w:lang w:eastAsia="zh-CN"/>
              </w:rPr>
              <w:t>以代理机构查询为准）</w:t>
            </w:r>
          </w:p>
        </w:tc>
      </w:tr>
      <w:tr w14:paraId="4925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04F9241F">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26434644">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48E84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szCs w:val="21"/>
                <w:highlight w:val="none"/>
                <w:lang w:val="en-US" w:eastAsia="zh-CN"/>
              </w:rPr>
            </w:pPr>
            <w:r>
              <w:rPr>
                <w:rFonts w:hint="eastAsia" w:eastAsia="宋体"/>
                <w:color w:val="auto"/>
                <w:highlight w:val="none"/>
                <w:lang w:eastAsia="zh-CN"/>
              </w:rPr>
              <w:t>供应商与采购人、采购人就本次采购的项目委托的咨询机构、采购代理机构、以及上述机构的附属机构没有行政或经济关联；</w:t>
            </w:r>
          </w:p>
        </w:tc>
        <w:tc>
          <w:tcPr>
            <w:tcW w:w="4400" w:type="dxa"/>
            <w:vAlign w:val="center"/>
          </w:tcPr>
          <w:p w14:paraId="186F0F73">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13A9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4DD0865D">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6FE5A5F4">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4ECFB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color w:val="auto"/>
                <w:szCs w:val="21"/>
                <w:highlight w:val="none"/>
              </w:rPr>
            </w:pPr>
            <w:r>
              <w:rPr>
                <w:rFonts w:hint="eastAsia" w:eastAsia="宋体"/>
                <w:color w:val="auto"/>
                <w:highlight w:val="none"/>
                <w:lang w:eastAsia="zh-CN"/>
              </w:rPr>
              <w:t>为采购项目提供整体设计、规范编制或者项目管理、监理、检测等服务的供应商，不得再参加该采购项目的其他采购活动；</w:t>
            </w:r>
          </w:p>
        </w:tc>
        <w:tc>
          <w:tcPr>
            <w:tcW w:w="4400" w:type="dxa"/>
            <w:vAlign w:val="center"/>
          </w:tcPr>
          <w:p w14:paraId="37223291">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6F20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699C15E9">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38177E30">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shd w:val="clear" w:color="auto" w:fill="auto"/>
            <w:vAlign w:val="center"/>
          </w:tcPr>
          <w:p w14:paraId="161FD190">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eastAsia="宋体"/>
                <w:color w:val="auto"/>
                <w:highlight w:val="none"/>
                <w:lang w:eastAsia="zh-CN"/>
              </w:rPr>
              <w:t>本次竞争性磋商不接受联合体参加磋商</w:t>
            </w:r>
          </w:p>
        </w:tc>
        <w:tc>
          <w:tcPr>
            <w:tcW w:w="4400" w:type="dxa"/>
            <w:shd w:val="clear" w:color="auto" w:fill="auto"/>
            <w:vAlign w:val="center"/>
          </w:tcPr>
          <w:p w14:paraId="29582E37">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44BF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4E4A9FE5">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3DB11664">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330EDE51">
            <w:pPr>
              <w:keepNext w:val="0"/>
              <w:keepLines w:val="0"/>
              <w:suppressLineNumbers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eastAsia="宋体"/>
                <w:color w:val="auto"/>
                <w:highlight w:val="none"/>
                <w:lang w:eastAsia="zh-CN"/>
              </w:rPr>
              <w:t>单位负责人为同一人或者存在直接控股、管理关系的不同供应商，不得参加同一合同项下的政府采购活动；</w:t>
            </w:r>
          </w:p>
        </w:tc>
        <w:tc>
          <w:tcPr>
            <w:tcW w:w="4400" w:type="dxa"/>
            <w:vAlign w:val="center"/>
          </w:tcPr>
          <w:p w14:paraId="2A79CC8D">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须知”第1.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.1项规定；</w:t>
            </w:r>
          </w:p>
        </w:tc>
      </w:tr>
      <w:tr w14:paraId="503A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restart"/>
            <w:vAlign w:val="center"/>
          </w:tcPr>
          <w:p w14:paraId="319FBE82">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2.1.3</w:t>
            </w:r>
          </w:p>
        </w:tc>
        <w:tc>
          <w:tcPr>
            <w:tcW w:w="725" w:type="dxa"/>
            <w:vMerge w:val="restart"/>
            <w:vAlign w:val="center"/>
          </w:tcPr>
          <w:p w14:paraId="0257DA24">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符合性评审标准</w:t>
            </w:r>
          </w:p>
        </w:tc>
        <w:tc>
          <w:tcPr>
            <w:tcW w:w="3074" w:type="dxa"/>
            <w:vAlign w:val="center"/>
          </w:tcPr>
          <w:p w14:paraId="51DF5589">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采购范围</w:t>
            </w:r>
          </w:p>
        </w:tc>
        <w:tc>
          <w:tcPr>
            <w:tcW w:w="4400" w:type="dxa"/>
            <w:vAlign w:val="center"/>
          </w:tcPr>
          <w:p w14:paraId="672B318C">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符合第二章“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须知前附表”1.4.1规定</w:t>
            </w:r>
          </w:p>
        </w:tc>
      </w:tr>
      <w:tr w14:paraId="4E73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5B82CEEA">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78FEA6DB">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6D2D89BA">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4400" w:type="dxa"/>
            <w:vAlign w:val="center"/>
          </w:tcPr>
          <w:p w14:paraId="6B5810A1">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符合第二章“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须知前附表”1.4.2规定</w:t>
            </w:r>
          </w:p>
        </w:tc>
      </w:tr>
      <w:tr w14:paraId="79BF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791E2C0C">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44B2AF7F">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79A26D7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eastAsia="zh"/>
                <w:woUserID w:val="3"/>
              </w:rPr>
            </w:pPr>
            <w:r>
              <w:rPr>
                <w:rFonts w:hint="eastAsia" w:ascii="宋体" w:hAnsi="宋体" w:cs="宋体"/>
                <w:color w:val="auto"/>
                <w:szCs w:val="21"/>
                <w:highlight w:val="none"/>
                <w:lang w:eastAsia="zh"/>
                <w:woUserID w:val="3"/>
              </w:rPr>
              <w:t>保修期</w:t>
            </w:r>
          </w:p>
        </w:tc>
        <w:tc>
          <w:tcPr>
            <w:tcW w:w="4400" w:type="dxa"/>
            <w:vAlign w:val="center"/>
          </w:tcPr>
          <w:p w14:paraId="2B0C2E58">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符合第二章“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须知前附表”1.4.3规定</w:t>
            </w:r>
          </w:p>
        </w:tc>
      </w:tr>
      <w:tr w14:paraId="0D51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7EFF059B">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1E8A2FA4">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258161C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bCs/>
                <w:color w:val="auto"/>
                <w:szCs w:val="21"/>
                <w:highlight w:val="none"/>
              </w:rPr>
              <w:t>缺陷责任期</w:t>
            </w:r>
          </w:p>
        </w:tc>
        <w:tc>
          <w:tcPr>
            <w:tcW w:w="4400" w:type="dxa"/>
            <w:vAlign w:val="center"/>
          </w:tcPr>
          <w:p w14:paraId="2C7DE675">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须知前附表”1.4.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规定</w:t>
            </w:r>
          </w:p>
        </w:tc>
      </w:tr>
      <w:tr w14:paraId="4CA7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5FAFE92E">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1A4B3742">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5B8D2A86">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4400" w:type="dxa"/>
            <w:vAlign w:val="center"/>
          </w:tcPr>
          <w:p w14:paraId="3BBA0634">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符合第二章“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须知前附表”1.4.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规定</w:t>
            </w:r>
          </w:p>
        </w:tc>
      </w:tr>
      <w:tr w14:paraId="281B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58EC2430">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1AB98ABC">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1A307913">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磋商有效期</w:t>
            </w:r>
          </w:p>
        </w:tc>
        <w:tc>
          <w:tcPr>
            <w:tcW w:w="4400" w:type="dxa"/>
            <w:vAlign w:val="center"/>
          </w:tcPr>
          <w:p w14:paraId="0124A5B5">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符合第二章“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须知前附表”3.3.1规定</w:t>
            </w:r>
          </w:p>
        </w:tc>
      </w:tr>
      <w:tr w14:paraId="1492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376DF90F">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186A305B">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6BF85886">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磋商报价</w:t>
            </w:r>
          </w:p>
        </w:tc>
        <w:tc>
          <w:tcPr>
            <w:tcW w:w="4400" w:type="dxa"/>
            <w:vAlign w:val="center"/>
          </w:tcPr>
          <w:p w14:paraId="2531522A">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
                <w:woUserID w:val="1"/>
              </w:rPr>
            </w:pPr>
            <w:r>
              <w:rPr>
                <w:rFonts w:hint="eastAsia" w:ascii="宋体" w:hAnsi="宋体" w:cs="宋体"/>
                <w:color w:val="auto"/>
                <w:szCs w:val="21"/>
                <w:highlight w:val="none"/>
                <w:lang w:eastAsia="zh-CN"/>
              </w:rPr>
              <w:t>磋商报价不得超过最高限价</w:t>
            </w:r>
            <w:r>
              <w:rPr>
                <w:rFonts w:hint="eastAsia" w:ascii="宋体" w:hAnsi="宋体" w:cs="宋体"/>
                <w:color w:val="auto"/>
                <w:szCs w:val="21"/>
                <w:highlight w:val="none"/>
                <w:lang w:eastAsia="zh"/>
                <w:woUserID w:val="1"/>
              </w:rPr>
              <w:t>，通过或符合已启动的异常低价审查程序。</w:t>
            </w:r>
          </w:p>
        </w:tc>
      </w:tr>
      <w:tr w14:paraId="29C5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339B765E">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bookmarkStart w:id="735" w:name="_Toc281405528"/>
            <w:bookmarkStart w:id="736" w:name="_Toc152045600"/>
            <w:bookmarkStart w:id="737" w:name="_Toc318450722"/>
            <w:bookmarkStart w:id="738" w:name="_Toc152042377"/>
            <w:bookmarkStart w:id="739" w:name="_Toc144974567"/>
          </w:p>
        </w:tc>
        <w:tc>
          <w:tcPr>
            <w:tcW w:w="725" w:type="dxa"/>
            <w:vMerge w:val="continue"/>
            <w:vAlign w:val="center"/>
          </w:tcPr>
          <w:p w14:paraId="68C0AB2D">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3B6DF19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标书雷同性分析</w:t>
            </w:r>
          </w:p>
        </w:tc>
        <w:tc>
          <w:tcPr>
            <w:tcW w:w="4400" w:type="dxa"/>
            <w:vAlign w:val="center"/>
          </w:tcPr>
          <w:p w14:paraId="3201B9F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rPr>
              <w:t>（响应）文件制作机器码不能一致</w:t>
            </w:r>
          </w:p>
        </w:tc>
      </w:tr>
      <w:tr w14:paraId="2D0E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1" w:type="dxa"/>
            <w:vMerge w:val="continue"/>
            <w:vAlign w:val="center"/>
          </w:tcPr>
          <w:p w14:paraId="762CB8E9">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725" w:type="dxa"/>
            <w:vMerge w:val="continue"/>
            <w:vAlign w:val="center"/>
          </w:tcPr>
          <w:p w14:paraId="52EAEAAD">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p>
        </w:tc>
        <w:tc>
          <w:tcPr>
            <w:tcW w:w="3074" w:type="dxa"/>
            <w:vAlign w:val="center"/>
          </w:tcPr>
          <w:p w14:paraId="4F5301C3">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4400" w:type="dxa"/>
            <w:vAlign w:val="center"/>
          </w:tcPr>
          <w:p w14:paraId="1051C494">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（1）串通或弄虚作假或有其他违法行为的；</w:t>
            </w:r>
          </w:p>
          <w:p w14:paraId="3DF4DCF7">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（2）不按磋商小组要求澄清、说明或补正的；</w:t>
            </w:r>
          </w:p>
          <w:p w14:paraId="303E2DF0">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（3）未按规定格式填写、内容不全或关键字迹模糊、无法辨认的；</w:t>
            </w:r>
          </w:p>
          <w:p w14:paraId="5F98F07D">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（4）响应文件附有采购人不能接受的条件；</w:t>
            </w:r>
          </w:p>
          <w:p w14:paraId="6A1DDC94">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（5）不符合磋商文件规定的其他实质性要求。</w:t>
            </w:r>
          </w:p>
        </w:tc>
      </w:tr>
    </w:tbl>
    <w:p w14:paraId="54C83B03">
      <w:pPr>
        <w:snapToGrid w:val="0"/>
        <w:spacing w:line="40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2.2在评审过程中，凡遇到磋商文件中无界定或界定不清、前后不一致使磋商小组意见有分歧且又难于协商一致的问题，均由磋商小组予以表决，获半数以上同意的即为通过，未获半数同意的即为否决。</w:t>
      </w:r>
    </w:p>
    <w:p w14:paraId="026602F5">
      <w:pPr>
        <w:jc w:val="center"/>
        <w:rPr>
          <w:rFonts w:hint="eastAsia" w:ascii="宋体" w:hAnsi="宋体" w:cs="宋体"/>
          <w:b/>
          <w:bCs/>
          <w:color w:val="auto"/>
          <w:sz w:val="24"/>
          <w:highlight w:val="none"/>
        </w:rPr>
      </w:pPr>
      <w:r>
        <w:rPr>
          <w:rFonts w:hint="eastAsia" w:ascii="宋体" w:hAnsi="宋体" w:cs="宋体"/>
          <w:b/>
          <w:bCs/>
          <w:color w:val="auto"/>
          <w:sz w:val="24"/>
          <w:highlight w:val="none"/>
        </w:rPr>
        <w:t>评审标准</w:t>
      </w:r>
    </w:p>
    <w:tbl>
      <w:tblPr>
        <w:tblStyle w:val="27"/>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100"/>
        <w:gridCol w:w="1125"/>
        <w:gridCol w:w="1071"/>
        <w:gridCol w:w="4769"/>
      </w:tblGrid>
      <w:tr w14:paraId="33C3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noWrap w:val="0"/>
            <w:vAlign w:val="center"/>
          </w:tcPr>
          <w:p w14:paraId="1F3C14E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b/>
                <w:color w:val="auto"/>
                <w:szCs w:val="21"/>
                <w:highlight w:val="none"/>
              </w:rPr>
              <w:t>条款号</w:t>
            </w:r>
          </w:p>
        </w:tc>
        <w:tc>
          <w:tcPr>
            <w:tcW w:w="1100" w:type="dxa"/>
            <w:noWrap w:val="0"/>
            <w:vAlign w:val="center"/>
          </w:tcPr>
          <w:p w14:paraId="67ECC22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b/>
                <w:color w:val="auto"/>
                <w:szCs w:val="21"/>
                <w:highlight w:val="none"/>
              </w:rPr>
              <w:t>条款内容</w:t>
            </w:r>
          </w:p>
        </w:tc>
        <w:tc>
          <w:tcPr>
            <w:tcW w:w="6965" w:type="dxa"/>
            <w:gridSpan w:val="3"/>
            <w:noWrap w:val="0"/>
            <w:vAlign w:val="center"/>
          </w:tcPr>
          <w:p w14:paraId="2796F9B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b/>
                <w:color w:val="auto"/>
                <w:szCs w:val="21"/>
                <w:highlight w:val="none"/>
              </w:rPr>
              <w:t>编列内容</w:t>
            </w:r>
          </w:p>
        </w:tc>
      </w:tr>
      <w:tr w14:paraId="5943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noWrap w:val="0"/>
            <w:vAlign w:val="center"/>
          </w:tcPr>
          <w:p w14:paraId="319513F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2.2.1</w:t>
            </w:r>
          </w:p>
        </w:tc>
        <w:tc>
          <w:tcPr>
            <w:tcW w:w="1100" w:type="dxa"/>
            <w:noWrap w:val="0"/>
            <w:vAlign w:val="center"/>
          </w:tcPr>
          <w:p w14:paraId="23718CD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分值构成</w:t>
            </w:r>
          </w:p>
          <w:p w14:paraId="59C6C02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100分</w:t>
            </w:r>
          </w:p>
        </w:tc>
        <w:tc>
          <w:tcPr>
            <w:tcW w:w="6965" w:type="dxa"/>
            <w:gridSpan w:val="3"/>
            <w:noWrap w:val="0"/>
            <w:vAlign w:val="center"/>
          </w:tcPr>
          <w:p w14:paraId="658B172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报价评分：</w:t>
            </w:r>
            <w:r>
              <w:rPr>
                <w:rFonts w:hint="eastAsia" w:ascii="宋体" w:hAnsi="宋体" w:cs="宋体"/>
                <w:color w:val="auto"/>
                <w:szCs w:val="21"/>
                <w:highlight w:val="none"/>
                <w:lang w:eastAsia="zh"/>
                <w:woUserID w:val="2"/>
              </w:rPr>
              <w:t>30</w:t>
            </w:r>
            <w:r>
              <w:rPr>
                <w:rFonts w:hint="eastAsia" w:ascii="宋体" w:hAnsi="宋体" w:cs="宋体"/>
                <w:color w:val="auto"/>
                <w:szCs w:val="21"/>
                <w:highlight w:val="none"/>
              </w:rPr>
              <w:t>分</w:t>
            </w:r>
          </w:p>
          <w:p w14:paraId="2001EBC9">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技术标评分：</w:t>
            </w:r>
            <w:r>
              <w:rPr>
                <w:rFonts w:hint="eastAsia" w:ascii="宋体" w:hAnsi="宋体" w:cs="宋体"/>
                <w:color w:val="auto"/>
                <w:szCs w:val="21"/>
                <w:highlight w:val="none"/>
                <w:lang w:eastAsia="zh"/>
                <w:woUserID w:val="2"/>
              </w:rPr>
              <w:t>56</w:t>
            </w:r>
            <w:r>
              <w:rPr>
                <w:rFonts w:hint="eastAsia" w:ascii="宋体" w:hAnsi="宋体" w:cs="宋体"/>
                <w:color w:val="auto"/>
                <w:szCs w:val="21"/>
                <w:highlight w:val="none"/>
              </w:rPr>
              <w:t>分</w:t>
            </w:r>
          </w:p>
          <w:p w14:paraId="2521506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综合标评分：</w:t>
            </w:r>
            <w:r>
              <w:rPr>
                <w:rFonts w:hint="eastAsia" w:ascii="宋体" w:hAnsi="宋体" w:cs="宋体"/>
                <w:color w:val="auto"/>
                <w:szCs w:val="21"/>
                <w:highlight w:val="none"/>
                <w:lang w:eastAsia="zh"/>
                <w:woUserID w:val="2"/>
              </w:rPr>
              <w:t>14</w:t>
            </w:r>
            <w:r>
              <w:rPr>
                <w:rFonts w:hint="eastAsia" w:ascii="宋体" w:hAnsi="宋体" w:cs="宋体"/>
                <w:color w:val="auto"/>
                <w:szCs w:val="21"/>
                <w:highlight w:val="none"/>
              </w:rPr>
              <w:t>分</w:t>
            </w:r>
          </w:p>
        </w:tc>
      </w:tr>
      <w:tr w14:paraId="3232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noWrap w:val="0"/>
            <w:vAlign w:val="center"/>
          </w:tcPr>
          <w:p w14:paraId="7A87D79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2.2.4（1）</w:t>
            </w:r>
          </w:p>
        </w:tc>
        <w:tc>
          <w:tcPr>
            <w:tcW w:w="1100" w:type="dxa"/>
            <w:noWrap w:val="0"/>
            <w:vAlign w:val="center"/>
          </w:tcPr>
          <w:p w14:paraId="2A54A1D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w:t>
            </w:r>
          </w:p>
          <w:p w14:paraId="1382051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
                <w:woUserID w:val="1"/>
              </w:rPr>
            </w:pPr>
            <w:r>
              <w:rPr>
                <w:rFonts w:hint="eastAsia" w:ascii="宋体" w:hAnsi="宋体" w:cs="宋体"/>
                <w:color w:val="auto"/>
                <w:szCs w:val="21"/>
                <w:highlight w:val="none"/>
                <w:lang w:eastAsia="zh"/>
                <w:woUserID w:val="2"/>
              </w:rPr>
              <w:t>3</w:t>
            </w:r>
            <w:r>
              <w:rPr>
                <w:rFonts w:hint="eastAsia" w:ascii="宋体" w:hAnsi="宋体" w:cs="宋体"/>
                <w:color w:val="auto"/>
                <w:szCs w:val="21"/>
                <w:highlight w:val="none"/>
                <w:lang w:eastAsia="zh"/>
                <w:woUserID w:val="1"/>
              </w:rPr>
              <w:t>0分</w:t>
            </w:r>
            <w:r>
              <w:rPr>
                <w:rFonts w:hint="eastAsia" w:ascii="宋体" w:hAnsi="宋体" w:cs="宋体"/>
                <w:color w:val="auto"/>
                <w:szCs w:val="21"/>
                <w:highlight w:val="none"/>
              </w:rPr>
              <w:br w:type="textWrapping"/>
            </w:r>
          </w:p>
        </w:tc>
        <w:tc>
          <w:tcPr>
            <w:tcW w:w="1125" w:type="dxa"/>
            <w:noWrap w:val="0"/>
            <w:vAlign w:val="center"/>
          </w:tcPr>
          <w:p w14:paraId="7CFF7F7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磋商</w:t>
            </w:r>
          </w:p>
          <w:p w14:paraId="09B9B5B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报价</w:t>
            </w:r>
          </w:p>
          <w:p w14:paraId="6ED3583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eastAsia="zh"/>
                <w:woUserID w:val="2"/>
              </w:rPr>
              <w:t>3</w:t>
            </w:r>
            <w:r>
              <w:rPr>
                <w:rFonts w:hint="eastAsia" w:ascii="宋体" w:hAnsi="宋体" w:cs="宋体"/>
                <w:color w:val="auto"/>
                <w:szCs w:val="21"/>
                <w:highlight w:val="none"/>
                <w:lang w:eastAsia="zh"/>
                <w:woUserID w:val="1"/>
              </w:rPr>
              <w:t>0</w:t>
            </w:r>
            <w:r>
              <w:rPr>
                <w:rFonts w:hint="eastAsia" w:ascii="宋体" w:hAnsi="宋体" w:cs="宋体"/>
                <w:color w:val="auto"/>
                <w:szCs w:val="21"/>
                <w:highlight w:val="none"/>
              </w:rPr>
              <w:t>分</w:t>
            </w:r>
          </w:p>
        </w:tc>
        <w:tc>
          <w:tcPr>
            <w:tcW w:w="5840" w:type="dxa"/>
            <w:gridSpan w:val="2"/>
            <w:noWrap w:val="0"/>
            <w:vAlign w:val="center"/>
          </w:tcPr>
          <w:p w14:paraId="236DE502">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color w:val="auto"/>
                <w:kern w:val="0"/>
                <w:szCs w:val="21"/>
                <w:highlight w:val="none"/>
              </w:rPr>
            </w:pPr>
            <w:r>
              <w:rPr>
                <w:rFonts w:hint="eastAsia" w:ascii="宋体" w:hAnsi="宋体"/>
                <w:color w:val="auto"/>
                <w:kern w:val="0"/>
                <w:szCs w:val="21"/>
                <w:highlight w:val="none"/>
              </w:rPr>
              <w:t>价格分采用低价优先法计算，即满足磋商文件要求且最后报价最低的供应商的价格为磋商基准价，其价格分为满分。其他供应商的价格分统一按照下列公式计算：</w:t>
            </w:r>
          </w:p>
          <w:p w14:paraId="3D34DFB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olor w:val="auto"/>
                <w:kern w:val="0"/>
                <w:szCs w:val="21"/>
                <w:highlight w:val="none"/>
                <w:lang w:val="en-US" w:eastAsia="zh"/>
                <w:woUserID w:val="5"/>
              </w:rPr>
            </w:pPr>
            <w:r>
              <w:rPr>
                <w:rFonts w:hint="eastAsia" w:ascii="宋体" w:hAnsi="宋体"/>
                <w:color w:val="auto"/>
                <w:kern w:val="0"/>
                <w:szCs w:val="21"/>
                <w:highlight w:val="none"/>
              </w:rPr>
              <w:t>磋商报价得分</w:t>
            </w:r>
            <w:r>
              <w:rPr>
                <w:rFonts w:hint="default" w:ascii="宋体" w:hAnsi="宋体"/>
                <w:color w:val="auto"/>
                <w:kern w:val="0"/>
                <w:szCs w:val="21"/>
                <w:highlight w:val="none"/>
              </w:rPr>
              <w:t>=</w:t>
            </w:r>
            <w:r>
              <w:rPr>
                <w:rFonts w:hint="eastAsia" w:ascii="宋体" w:hAnsi="宋体"/>
                <w:color w:val="auto"/>
                <w:kern w:val="0"/>
                <w:szCs w:val="21"/>
                <w:highlight w:val="none"/>
              </w:rPr>
              <w:t>（磋商基准价</w:t>
            </w:r>
            <w:r>
              <w:rPr>
                <w:rFonts w:hint="default" w:ascii="宋体" w:hAnsi="宋体"/>
                <w:color w:val="auto"/>
                <w:kern w:val="0"/>
                <w:szCs w:val="21"/>
                <w:highlight w:val="none"/>
              </w:rPr>
              <w:t>/</w:t>
            </w:r>
            <w:r>
              <w:rPr>
                <w:rFonts w:hint="eastAsia" w:ascii="宋体" w:hAnsi="宋体"/>
                <w:color w:val="auto"/>
                <w:kern w:val="0"/>
                <w:szCs w:val="21"/>
                <w:highlight w:val="none"/>
              </w:rPr>
              <w:t>最后磋商报价）×</w:t>
            </w:r>
            <w:r>
              <w:rPr>
                <w:rFonts w:hint="eastAsia" w:ascii="宋体" w:hAnsi="宋体"/>
                <w:color w:val="auto"/>
                <w:kern w:val="0"/>
                <w:szCs w:val="21"/>
                <w:highlight w:val="none"/>
                <w:lang w:eastAsia="zh"/>
                <w:woUserID w:val="2"/>
              </w:rPr>
              <w:t>3</w:t>
            </w:r>
            <w:r>
              <w:rPr>
                <w:rFonts w:hint="eastAsia" w:ascii="宋体" w:hAnsi="宋体"/>
                <w:color w:val="auto"/>
                <w:kern w:val="0"/>
                <w:szCs w:val="21"/>
                <w:highlight w:val="none"/>
                <w:lang w:eastAsia="zh"/>
                <w:woUserID w:val="5"/>
              </w:rPr>
              <w:t>0</w:t>
            </w:r>
          </w:p>
          <w:p w14:paraId="1F8687C0">
            <w:pPr>
              <w:keepNext w:val="0"/>
              <w:keepLines w:val="0"/>
              <w:suppressLineNumbers w:val="0"/>
              <w:autoSpaceDE w:val="0"/>
              <w:autoSpaceDN w:val="0"/>
              <w:adjustRightInd w:val="0"/>
              <w:spacing w:before="0" w:beforeAutospacing="0" w:after="0" w:afterAutospacing="0" w:line="400" w:lineRule="exact"/>
              <w:ind w:left="0" w:right="0"/>
              <w:rPr>
                <w:rFonts w:hint="eastAsia" w:eastAsia="宋体"/>
                <w:color w:val="auto"/>
                <w:highlight w:val="none"/>
                <w:lang w:eastAsia="zh"/>
                <w:woUserID w:val="2"/>
              </w:rPr>
            </w:pPr>
            <w:r>
              <w:rPr>
                <w:rFonts w:hint="eastAsia" w:ascii="宋体" w:hAnsi="宋体" w:eastAsia="宋体"/>
                <w:color w:val="auto"/>
                <w:kern w:val="0"/>
                <w:szCs w:val="21"/>
                <w:highlight w:val="none"/>
              </w:rPr>
              <w:t>因落实政府采购政策进行价格调整的，以调整后的价格计算磋商基准价和最后磋商报价。</w:t>
            </w:r>
          </w:p>
        </w:tc>
      </w:tr>
      <w:tr w14:paraId="15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restart"/>
            <w:noWrap w:val="0"/>
            <w:vAlign w:val="center"/>
          </w:tcPr>
          <w:p w14:paraId="4DC00A6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2.2.4（2）</w:t>
            </w:r>
          </w:p>
        </w:tc>
        <w:tc>
          <w:tcPr>
            <w:tcW w:w="1100" w:type="dxa"/>
            <w:vMerge w:val="restart"/>
            <w:noWrap w:val="0"/>
            <w:vAlign w:val="center"/>
          </w:tcPr>
          <w:p w14:paraId="5D0D3AD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技术方案</w:t>
            </w:r>
          </w:p>
          <w:p w14:paraId="338CEFB3">
            <w:pPr>
              <w:pStyle w:val="10"/>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w:t>
            </w:r>
            <w:r>
              <w:rPr>
                <w:rFonts w:hint="eastAsia" w:ascii="宋体" w:hAnsi="宋体"/>
                <w:color w:val="auto"/>
                <w:szCs w:val="21"/>
                <w:highlight w:val="none"/>
                <w:lang w:eastAsia="zh"/>
                <w:woUserID w:val="2"/>
              </w:rPr>
              <w:t>56</w:t>
            </w:r>
            <w:r>
              <w:rPr>
                <w:rFonts w:hint="eastAsia" w:ascii="宋体" w:hAnsi="宋体"/>
                <w:color w:val="auto"/>
                <w:szCs w:val="21"/>
                <w:highlight w:val="none"/>
              </w:rPr>
              <w:t>分</w:t>
            </w:r>
            <w:r>
              <w:rPr>
                <w:rFonts w:hint="default" w:ascii="宋体" w:hAnsi="宋体"/>
                <w:color w:val="auto"/>
                <w:szCs w:val="21"/>
                <w:highlight w:val="none"/>
              </w:rPr>
              <w:t>）</w:t>
            </w:r>
          </w:p>
        </w:tc>
        <w:tc>
          <w:tcPr>
            <w:tcW w:w="1125" w:type="dxa"/>
            <w:vMerge w:val="restart"/>
            <w:noWrap w:val="0"/>
            <w:vAlign w:val="center"/>
          </w:tcPr>
          <w:p w14:paraId="6DE81C4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项目设计方案</w:t>
            </w:r>
          </w:p>
          <w:p w14:paraId="627D5E1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woUserID w:val="2"/>
              </w:rPr>
              <w:t>32</w:t>
            </w:r>
            <w:r>
              <w:rPr>
                <w:rFonts w:hint="eastAsia" w:ascii="宋体" w:hAnsi="宋体" w:cs="宋体"/>
                <w:color w:val="auto"/>
                <w:szCs w:val="21"/>
                <w:highlight w:val="none"/>
              </w:rPr>
              <w:t>分）</w:t>
            </w:r>
          </w:p>
        </w:tc>
        <w:tc>
          <w:tcPr>
            <w:tcW w:w="1071" w:type="dxa"/>
            <w:noWrap w:val="0"/>
            <w:vAlign w:val="center"/>
          </w:tcPr>
          <w:p w14:paraId="4EC75C6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kern w:val="2"/>
                <w:sz w:val="21"/>
                <w:szCs w:val="21"/>
                <w:highlight w:val="none"/>
                <w:woUserID w:val="1"/>
              </w:rPr>
              <w:t>工艺电力系统二次配</w:t>
            </w:r>
            <w:r>
              <w:rPr>
                <w:rFonts w:hint="eastAsia" w:ascii="宋体" w:hAnsi="宋体" w:cs="宋体"/>
                <w:color w:val="auto"/>
                <w:szCs w:val="21"/>
                <w:highlight w:val="none"/>
              </w:rPr>
              <w:t>（</w:t>
            </w:r>
            <w:r>
              <w:rPr>
                <w:rFonts w:hint="eastAsia" w:ascii="宋体" w:hAnsi="宋体" w:cs="宋体"/>
                <w:color w:val="auto"/>
                <w:szCs w:val="21"/>
                <w:highlight w:val="none"/>
                <w:lang w:eastAsia="zh"/>
                <w:woUserID w:val="2"/>
              </w:rPr>
              <w:t>2</w:t>
            </w:r>
            <w:r>
              <w:rPr>
                <w:rFonts w:hint="eastAsia" w:ascii="宋体" w:hAnsi="宋体" w:cs="宋体"/>
                <w:color w:val="auto"/>
                <w:szCs w:val="21"/>
                <w:highlight w:val="none"/>
              </w:rPr>
              <w:t>分）</w:t>
            </w:r>
          </w:p>
        </w:tc>
        <w:tc>
          <w:tcPr>
            <w:tcW w:w="4769" w:type="dxa"/>
            <w:noWrap w:val="0"/>
            <w:vAlign w:val="center"/>
          </w:tcPr>
          <w:p w14:paraId="47CBE842">
            <w:pPr>
              <w:keepNext w:val="0"/>
              <w:keepLines w:val="0"/>
              <w:suppressLineNumbers w:val="0"/>
              <w:spacing w:before="0" w:beforeAutospacing="0" w:after="0" w:afterAutospacing="0"/>
              <w:ind w:left="0" w:right="0"/>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电气系统设计合理与合规性，线路规划与路径、接插口分布，UPS线路连接、</w:t>
            </w:r>
            <w:r>
              <w:rPr>
                <w:rFonts w:hint="eastAsia" w:ascii="宋体" w:hAnsi="宋体" w:cs="宋体"/>
                <w:color w:val="auto"/>
                <w:szCs w:val="21"/>
                <w:highlight w:val="none"/>
              </w:rPr>
              <w:t>接地</w:t>
            </w:r>
            <w:r>
              <w:rPr>
                <w:rFonts w:hint="eastAsia" w:ascii="宋体" w:hAnsi="宋体" w:cs="宋体"/>
                <w:color w:val="auto"/>
                <w:szCs w:val="21"/>
                <w:highlight w:val="none"/>
                <w:lang w:eastAsia="zh"/>
              </w:rPr>
              <w:t>、测试方法</w:t>
            </w:r>
            <w:r>
              <w:rPr>
                <w:rFonts w:hint="eastAsia" w:ascii="宋体" w:hAnsi="宋体" w:cs="宋体"/>
                <w:color w:val="auto"/>
                <w:szCs w:val="21"/>
                <w:highlight w:val="none"/>
              </w:rPr>
              <w:t>等系统的设计方案、系统配置、设备及材料选型等的合理性、科学性、全面性、满足</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要求的程度等打分。</w:t>
            </w:r>
          </w:p>
          <w:p w14:paraId="37FF8E02">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优：</w:t>
            </w:r>
            <w:r>
              <w:rPr>
                <w:rFonts w:hint="eastAsia" w:ascii="宋体" w:hAnsi="宋体" w:cs="宋体"/>
                <w:color w:val="auto"/>
                <w:szCs w:val="21"/>
                <w:highlight w:val="none"/>
                <w:lang w:eastAsia="zh"/>
              </w:rPr>
              <w:t>2</w:t>
            </w:r>
            <w:r>
              <w:rPr>
                <w:rFonts w:hint="eastAsia" w:ascii="宋体" w:hAnsi="宋体" w:cs="宋体"/>
                <w:color w:val="auto"/>
                <w:szCs w:val="21"/>
                <w:highlight w:val="none"/>
              </w:rPr>
              <w:t>分</w:t>
            </w:r>
          </w:p>
          <w:p w14:paraId="7725EA7A">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良：1分</w:t>
            </w:r>
          </w:p>
          <w:p w14:paraId="62410EE3">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差：0.5分</w:t>
            </w:r>
          </w:p>
          <w:p w14:paraId="2B5F205D">
            <w:pPr>
              <w:pStyle w:val="10"/>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没有此项得0分。</w:t>
            </w:r>
          </w:p>
        </w:tc>
      </w:tr>
      <w:tr w14:paraId="73D2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4D95297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40D5319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0E47A30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1774C02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kern w:val="2"/>
                <w:sz w:val="21"/>
                <w:szCs w:val="21"/>
                <w:highlight w:val="none"/>
                <w:woUserID w:val="1"/>
              </w:rPr>
              <w:t>工艺超纯水二次配</w:t>
            </w:r>
            <w:r>
              <w:rPr>
                <w:rFonts w:hint="eastAsia" w:ascii="宋体" w:hAnsi="宋体" w:cs="宋体"/>
                <w:color w:val="auto"/>
                <w:szCs w:val="21"/>
                <w:highlight w:val="none"/>
              </w:rPr>
              <w:t>（</w:t>
            </w:r>
            <w:r>
              <w:rPr>
                <w:rFonts w:hint="eastAsia" w:ascii="宋体" w:hAnsi="宋体" w:cs="宋体"/>
                <w:color w:val="auto"/>
                <w:szCs w:val="21"/>
                <w:highlight w:val="none"/>
                <w:lang w:eastAsia="zh"/>
                <w:woUserID w:val="2"/>
              </w:rPr>
              <w:t>2</w:t>
            </w:r>
            <w:r>
              <w:rPr>
                <w:rFonts w:hint="eastAsia" w:ascii="宋体" w:hAnsi="宋体" w:cs="宋体"/>
                <w:color w:val="auto"/>
                <w:szCs w:val="21"/>
                <w:highlight w:val="none"/>
              </w:rPr>
              <w:t>分）</w:t>
            </w:r>
          </w:p>
        </w:tc>
        <w:tc>
          <w:tcPr>
            <w:tcW w:w="4769" w:type="dxa"/>
            <w:noWrap w:val="0"/>
            <w:vAlign w:val="center"/>
          </w:tcPr>
          <w:p w14:paraId="61D5695E">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lang w:eastAsia="zh"/>
              </w:rPr>
              <w:t>纯水管路系统设计、管路路径与分布、</w:t>
            </w:r>
            <w:r>
              <w:rPr>
                <w:rFonts w:hint="eastAsia" w:ascii="宋体" w:hAnsi="宋体" w:cs="宋体"/>
                <w:color w:val="auto"/>
                <w:szCs w:val="21"/>
                <w:highlight w:val="none"/>
              </w:rPr>
              <w:t>处理流程、系统配置、设备及管材选型</w:t>
            </w:r>
            <w:r>
              <w:rPr>
                <w:rFonts w:hint="eastAsia" w:ascii="宋体" w:hAnsi="宋体" w:cs="宋体"/>
                <w:color w:val="auto"/>
                <w:szCs w:val="21"/>
                <w:highlight w:val="none"/>
                <w:lang w:eastAsia="zh"/>
              </w:rPr>
              <w:t>、测试方法</w:t>
            </w:r>
            <w:r>
              <w:rPr>
                <w:rFonts w:hint="eastAsia" w:ascii="宋体" w:hAnsi="宋体" w:cs="宋体"/>
                <w:color w:val="auto"/>
                <w:szCs w:val="21"/>
                <w:highlight w:val="none"/>
              </w:rPr>
              <w:t>等方案合理的合理性、科学性、全面性、满足</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要求的程度等打分。</w:t>
            </w:r>
          </w:p>
          <w:p w14:paraId="3175CDA3">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优：</w:t>
            </w:r>
            <w:r>
              <w:rPr>
                <w:rFonts w:hint="eastAsia" w:ascii="宋体" w:hAnsi="宋体" w:cs="宋体"/>
                <w:color w:val="auto"/>
                <w:szCs w:val="21"/>
                <w:highlight w:val="none"/>
                <w:lang w:eastAsia="zh"/>
                <w:woUserID w:val="2"/>
              </w:rPr>
              <w:t>2</w:t>
            </w:r>
            <w:r>
              <w:rPr>
                <w:rFonts w:hint="eastAsia" w:ascii="宋体" w:hAnsi="宋体" w:cs="宋体"/>
                <w:color w:val="auto"/>
                <w:szCs w:val="21"/>
                <w:highlight w:val="none"/>
              </w:rPr>
              <w:t>分</w:t>
            </w:r>
          </w:p>
          <w:p w14:paraId="66E59610">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良：1分</w:t>
            </w:r>
          </w:p>
          <w:p w14:paraId="04196F24">
            <w:pPr>
              <w:pStyle w:val="10"/>
              <w:keepNext w:val="0"/>
              <w:keepLines w:val="0"/>
              <w:suppressLineNumbers w:val="0"/>
              <w:spacing w:before="0" w:beforeAutospacing="0" w:after="0" w:afterAutospacing="0"/>
              <w:ind w:left="0" w:right="0"/>
              <w:rPr>
                <w:rFonts w:hint="default" w:ascii="宋体" w:hAnsi="宋体" w:cs="宋体"/>
                <w:color w:val="auto"/>
                <w:spacing w:val="8"/>
                <w:position w:val="1"/>
                <w:szCs w:val="21"/>
                <w:highlight w:val="none"/>
              </w:rPr>
            </w:pPr>
            <w:r>
              <w:rPr>
                <w:rFonts w:hint="eastAsia" w:ascii="宋体" w:hAnsi="宋体" w:cs="宋体"/>
                <w:color w:val="auto"/>
                <w:szCs w:val="21"/>
                <w:highlight w:val="none"/>
              </w:rPr>
              <w:t>差：0.5分</w:t>
            </w:r>
          </w:p>
          <w:p w14:paraId="7EE25638">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没有此项得0分。</w:t>
            </w:r>
          </w:p>
        </w:tc>
      </w:tr>
      <w:tr w14:paraId="5D2E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6572580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32514E8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55BA6CE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06E581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rPr>
            </w:pPr>
            <w:r>
              <w:rPr>
                <w:rFonts w:hint="eastAsia" w:ascii="宋体" w:hAnsi="宋体" w:eastAsia="宋体" w:cs="宋体"/>
                <w:color w:val="auto"/>
                <w:kern w:val="2"/>
                <w:sz w:val="21"/>
                <w:szCs w:val="21"/>
                <w:highlight w:val="none"/>
                <w:woUserID w:val="1"/>
              </w:rPr>
              <w:t>工艺排气系统二次配</w:t>
            </w:r>
            <w:r>
              <w:rPr>
                <w:rFonts w:hint="eastAsia" w:ascii="宋体" w:hAnsi="宋体" w:cs="宋体"/>
                <w:color w:val="auto"/>
                <w:szCs w:val="21"/>
                <w:highlight w:val="none"/>
                <w:lang w:eastAsia="zh"/>
              </w:rPr>
              <w:t>（</w:t>
            </w:r>
            <w:r>
              <w:rPr>
                <w:rFonts w:hint="eastAsia" w:ascii="宋体" w:hAnsi="宋体" w:cs="宋体"/>
                <w:color w:val="auto"/>
                <w:szCs w:val="21"/>
                <w:highlight w:val="none"/>
                <w:lang w:eastAsia="zh"/>
                <w:woUserID w:val="2"/>
              </w:rPr>
              <w:t>3</w:t>
            </w:r>
            <w:r>
              <w:rPr>
                <w:rFonts w:hint="eastAsia" w:ascii="宋体" w:hAnsi="宋体" w:cs="宋体"/>
                <w:color w:val="auto"/>
                <w:szCs w:val="21"/>
                <w:highlight w:val="none"/>
                <w:lang w:eastAsia="zh"/>
              </w:rPr>
              <w:t>分）</w:t>
            </w:r>
          </w:p>
        </w:tc>
        <w:tc>
          <w:tcPr>
            <w:tcW w:w="4769" w:type="dxa"/>
            <w:noWrap w:val="0"/>
            <w:vAlign w:val="center"/>
          </w:tcPr>
          <w:p w14:paraId="41ADCFA2">
            <w:pPr>
              <w:pStyle w:val="10"/>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olor w:val="auto"/>
                <w:szCs w:val="21"/>
                <w:highlight w:val="none"/>
                <w:lang w:eastAsia="zh"/>
              </w:rPr>
              <w:t>工艺排气系统设计、</w:t>
            </w:r>
            <w:r>
              <w:rPr>
                <w:rFonts w:hint="eastAsia" w:ascii="宋体" w:hAnsi="宋体" w:cs="宋体"/>
                <w:color w:val="auto"/>
                <w:szCs w:val="21"/>
                <w:highlight w:val="none"/>
                <w:lang w:eastAsia="zh"/>
              </w:rPr>
              <w:t>管路径与分布、</w:t>
            </w:r>
            <w:r>
              <w:rPr>
                <w:rFonts w:hint="eastAsia" w:ascii="宋体" w:hAnsi="宋体"/>
                <w:color w:val="auto"/>
                <w:szCs w:val="21"/>
                <w:highlight w:val="none"/>
                <w:lang w:eastAsia="zh"/>
              </w:rPr>
              <w:t>处理流程、系统配置、设备及材料选型、尾气处理器互锁安全</w:t>
            </w:r>
            <w:r>
              <w:rPr>
                <w:rFonts w:hint="eastAsia" w:ascii="宋体" w:hAnsi="宋体" w:cs="宋体"/>
                <w:color w:val="auto"/>
                <w:szCs w:val="21"/>
                <w:highlight w:val="none"/>
              </w:rPr>
              <w:t>等方案合理的合理性、科学性、全面性、满足</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要求的程度等打分。</w:t>
            </w:r>
          </w:p>
          <w:p w14:paraId="2F660FA2">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优：</w:t>
            </w:r>
            <w:r>
              <w:rPr>
                <w:rFonts w:hint="eastAsia" w:ascii="宋体" w:hAnsi="宋体" w:cs="宋体"/>
                <w:color w:val="auto"/>
                <w:szCs w:val="21"/>
                <w:highlight w:val="none"/>
                <w:lang w:eastAsia="zh"/>
                <w:woUserID w:val="2"/>
              </w:rPr>
              <w:t>3</w:t>
            </w:r>
            <w:r>
              <w:rPr>
                <w:rFonts w:hint="eastAsia" w:ascii="宋体" w:hAnsi="宋体" w:cs="宋体"/>
                <w:color w:val="auto"/>
                <w:szCs w:val="21"/>
                <w:highlight w:val="none"/>
              </w:rPr>
              <w:t>分</w:t>
            </w:r>
          </w:p>
          <w:p w14:paraId="44DBC013">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良：</w:t>
            </w:r>
            <w:r>
              <w:rPr>
                <w:rFonts w:hint="eastAsia" w:ascii="宋体" w:hAnsi="宋体" w:cs="宋体"/>
                <w:color w:val="auto"/>
                <w:szCs w:val="21"/>
                <w:highlight w:val="none"/>
                <w:lang w:eastAsia="zh"/>
                <w:woUserID w:val="2"/>
              </w:rPr>
              <w:t>1.5</w:t>
            </w:r>
            <w:r>
              <w:rPr>
                <w:rFonts w:hint="eastAsia" w:ascii="宋体" w:hAnsi="宋体" w:cs="宋体"/>
                <w:color w:val="auto"/>
                <w:szCs w:val="21"/>
                <w:highlight w:val="none"/>
              </w:rPr>
              <w:t>分</w:t>
            </w:r>
          </w:p>
          <w:p w14:paraId="4B57AC28">
            <w:pPr>
              <w:pStyle w:val="10"/>
              <w:keepNext w:val="0"/>
              <w:keepLines w:val="0"/>
              <w:suppressLineNumbers w:val="0"/>
              <w:spacing w:before="0" w:beforeAutospacing="0" w:after="0" w:afterAutospacing="0"/>
              <w:ind w:left="0" w:right="0"/>
              <w:rPr>
                <w:rFonts w:hint="default" w:ascii="宋体" w:hAnsi="宋体" w:cs="宋体"/>
                <w:color w:val="auto"/>
                <w:spacing w:val="8"/>
                <w:position w:val="1"/>
                <w:szCs w:val="21"/>
                <w:highlight w:val="none"/>
              </w:rPr>
            </w:pPr>
            <w:r>
              <w:rPr>
                <w:rFonts w:hint="eastAsia" w:ascii="宋体" w:hAnsi="宋体" w:cs="宋体"/>
                <w:color w:val="auto"/>
                <w:szCs w:val="21"/>
                <w:highlight w:val="none"/>
              </w:rPr>
              <w:t>差：0.5分</w:t>
            </w:r>
          </w:p>
          <w:p w14:paraId="27057D7F">
            <w:pPr>
              <w:keepNext w:val="0"/>
              <w:keepLines w:val="0"/>
              <w:suppressLineNumbers w:val="0"/>
              <w:spacing w:before="0" w:beforeAutospacing="0" w:after="0" w:afterAutospacing="0"/>
              <w:ind w:left="0" w:right="0"/>
              <w:rPr>
                <w:rFonts w:hint="eastAsia"/>
                <w:color w:val="auto"/>
                <w:highlight w:val="none"/>
                <w:lang w:eastAsia="zh"/>
              </w:rPr>
            </w:pPr>
            <w:r>
              <w:rPr>
                <w:rFonts w:hint="eastAsia" w:ascii="宋体" w:hAnsi="宋体" w:cs="宋体"/>
                <w:color w:val="auto"/>
                <w:szCs w:val="21"/>
                <w:highlight w:val="none"/>
              </w:rPr>
              <w:t>没有此项得0分。</w:t>
            </w:r>
          </w:p>
        </w:tc>
      </w:tr>
      <w:tr w14:paraId="0445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688A9FD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0B2C1C3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29E6DED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08E8D6E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kern w:val="2"/>
                <w:sz w:val="21"/>
                <w:szCs w:val="21"/>
                <w:highlight w:val="none"/>
                <w:woUserID w:val="1"/>
              </w:rPr>
              <w:t>工艺排水排液二次配</w:t>
            </w:r>
            <w:r>
              <w:rPr>
                <w:rFonts w:hint="eastAsia" w:ascii="宋体" w:hAnsi="宋体" w:cs="宋体"/>
                <w:color w:val="auto"/>
                <w:szCs w:val="21"/>
                <w:highlight w:val="none"/>
              </w:rPr>
              <w:t>（</w:t>
            </w:r>
            <w:r>
              <w:rPr>
                <w:rFonts w:hint="eastAsia" w:ascii="宋体" w:hAnsi="宋体" w:cs="宋体"/>
                <w:color w:val="auto"/>
                <w:szCs w:val="21"/>
                <w:highlight w:val="none"/>
                <w:lang w:eastAsia="zh"/>
                <w:woUserID w:val="2"/>
              </w:rPr>
              <w:t>2</w:t>
            </w:r>
            <w:r>
              <w:rPr>
                <w:rFonts w:hint="eastAsia" w:ascii="宋体" w:hAnsi="宋体" w:cs="宋体"/>
                <w:color w:val="auto"/>
                <w:szCs w:val="21"/>
                <w:highlight w:val="none"/>
              </w:rPr>
              <w:t>分）</w:t>
            </w:r>
          </w:p>
        </w:tc>
        <w:tc>
          <w:tcPr>
            <w:tcW w:w="4769" w:type="dxa"/>
            <w:noWrap w:val="0"/>
            <w:vAlign w:val="center"/>
          </w:tcPr>
          <w:p w14:paraId="3148CDEF">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lang w:eastAsia="zh"/>
              </w:rPr>
              <w:t>排水</w:t>
            </w:r>
            <w:r>
              <w:rPr>
                <w:rFonts w:hint="eastAsia" w:ascii="宋体" w:hAnsi="宋体" w:cs="宋体"/>
                <w:color w:val="auto"/>
                <w:szCs w:val="21"/>
                <w:highlight w:val="none"/>
              </w:rPr>
              <w:t>系统（包含As、P废水及其他废水）的设计方案、处理流程、系统配置、设备及管材选型等方案合理的合理性、科学性、全面性、满足</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要求的程度等打分。</w:t>
            </w:r>
          </w:p>
          <w:p w14:paraId="05DE6ECB">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优：</w:t>
            </w:r>
            <w:r>
              <w:rPr>
                <w:rFonts w:hint="eastAsia" w:ascii="宋体" w:hAnsi="宋体" w:cs="宋体"/>
                <w:color w:val="auto"/>
                <w:szCs w:val="21"/>
                <w:highlight w:val="none"/>
                <w:lang w:eastAsia="zh"/>
              </w:rPr>
              <w:t>2</w:t>
            </w:r>
            <w:r>
              <w:rPr>
                <w:rFonts w:hint="eastAsia" w:ascii="宋体" w:hAnsi="宋体" w:cs="宋体"/>
                <w:color w:val="auto"/>
                <w:spacing w:val="8"/>
                <w:position w:val="1"/>
                <w:szCs w:val="21"/>
                <w:highlight w:val="none"/>
              </w:rPr>
              <w:t>分</w:t>
            </w:r>
          </w:p>
          <w:p w14:paraId="6A126EA1">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良：</w:t>
            </w:r>
            <w:r>
              <w:rPr>
                <w:rFonts w:hint="eastAsia" w:ascii="宋体" w:hAnsi="宋体" w:cs="宋体"/>
                <w:color w:val="auto"/>
                <w:szCs w:val="21"/>
                <w:highlight w:val="none"/>
                <w:lang w:eastAsia="zh"/>
              </w:rPr>
              <w:t>1.5</w:t>
            </w:r>
            <w:r>
              <w:rPr>
                <w:rFonts w:hint="eastAsia" w:ascii="宋体" w:hAnsi="宋体" w:cs="宋体"/>
                <w:color w:val="auto"/>
                <w:spacing w:val="8"/>
                <w:position w:val="1"/>
                <w:szCs w:val="21"/>
                <w:highlight w:val="none"/>
              </w:rPr>
              <w:t>分</w:t>
            </w:r>
          </w:p>
          <w:p w14:paraId="271AE0CE">
            <w:pPr>
              <w:pStyle w:val="10"/>
              <w:keepNext w:val="0"/>
              <w:keepLines w:val="0"/>
              <w:suppressLineNumbers w:val="0"/>
              <w:spacing w:before="0" w:beforeAutospacing="0" w:after="0" w:afterAutospacing="0"/>
              <w:ind w:left="0" w:right="0"/>
              <w:rPr>
                <w:rFonts w:hint="default" w:ascii="宋体" w:hAnsi="宋体" w:cs="宋体"/>
                <w:color w:val="auto"/>
                <w:spacing w:val="8"/>
                <w:position w:val="1"/>
                <w:szCs w:val="21"/>
                <w:highlight w:val="none"/>
              </w:rPr>
            </w:pPr>
            <w:r>
              <w:rPr>
                <w:rFonts w:hint="eastAsia" w:ascii="宋体" w:hAnsi="宋体" w:cs="宋体"/>
                <w:color w:val="auto"/>
                <w:szCs w:val="21"/>
                <w:highlight w:val="none"/>
              </w:rPr>
              <w:t>差：0.5分</w:t>
            </w:r>
          </w:p>
          <w:p w14:paraId="12354819">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没有此项得0分。</w:t>
            </w:r>
          </w:p>
        </w:tc>
      </w:tr>
      <w:tr w14:paraId="5C43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114C34C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2543B44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14E8B47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138402F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kern w:val="2"/>
                <w:sz w:val="21"/>
                <w:szCs w:val="21"/>
                <w:highlight w:val="none"/>
                <w:woUserID w:val="1"/>
              </w:rPr>
              <w:t>工艺气体二次配</w:t>
            </w:r>
            <w:r>
              <w:rPr>
                <w:rFonts w:hint="eastAsia" w:ascii="宋体" w:hAnsi="宋体" w:cs="宋体"/>
                <w:color w:val="auto"/>
                <w:szCs w:val="21"/>
                <w:highlight w:val="none"/>
              </w:rPr>
              <w:t>（</w:t>
            </w:r>
            <w:r>
              <w:rPr>
                <w:rFonts w:hint="eastAsia" w:ascii="宋体" w:hAnsi="宋体" w:cs="宋体"/>
                <w:color w:val="auto"/>
                <w:szCs w:val="21"/>
                <w:highlight w:val="none"/>
                <w:lang w:eastAsia="zh"/>
                <w:woUserID w:val="2"/>
              </w:rPr>
              <w:t>5</w:t>
            </w:r>
            <w:r>
              <w:rPr>
                <w:rFonts w:hint="eastAsia" w:ascii="宋体" w:hAnsi="宋体" w:cs="宋体"/>
                <w:color w:val="auto"/>
                <w:szCs w:val="21"/>
                <w:highlight w:val="none"/>
              </w:rPr>
              <w:t>分）</w:t>
            </w:r>
          </w:p>
        </w:tc>
        <w:tc>
          <w:tcPr>
            <w:tcW w:w="4769" w:type="dxa"/>
            <w:noWrap w:val="0"/>
            <w:vAlign w:val="center"/>
          </w:tcPr>
          <w:p w14:paraId="19E8BDAD">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lang w:val="en-US" w:eastAsia="zh-CN" w:bidi="ar-SA"/>
                <w:woUserID w:val="1"/>
              </w:rPr>
            </w:pPr>
            <w:r>
              <w:rPr>
                <w:rFonts w:hint="eastAsia" w:ascii="宋体" w:hAnsi="宋体" w:cs="宋体"/>
                <w:color w:val="auto"/>
                <w:szCs w:val="21"/>
                <w:highlight w:val="none"/>
              </w:rPr>
              <w:t>根据包括大宗气体、</w:t>
            </w:r>
            <w:r>
              <w:rPr>
                <w:rFonts w:hint="eastAsia" w:ascii="宋体" w:hAnsi="宋体" w:cs="宋体"/>
                <w:color w:val="auto"/>
                <w:szCs w:val="21"/>
                <w:highlight w:val="none"/>
                <w:lang w:eastAsia="zh"/>
              </w:rPr>
              <w:t>压缩空气、</w:t>
            </w:r>
            <w:r>
              <w:rPr>
                <w:rFonts w:hint="eastAsia" w:ascii="宋体" w:hAnsi="宋体" w:cs="宋体"/>
                <w:color w:val="auto"/>
                <w:szCs w:val="21"/>
                <w:highlight w:val="none"/>
              </w:rPr>
              <w:t>特种气体（氢气、氯气、砷烷、磷烷、硅烷</w:t>
            </w:r>
            <w:r>
              <w:rPr>
                <w:rFonts w:hint="eastAsia" w:ascii="宋体" w:hAnsi="宋体" w:cs="宋体"/>
                <w:color w:val="auto"/>
                <w:szCs w:val="21"/>
                <w:highlight w:val="none"/>
                <w:lang w:eastAsia="zh"/>
              </w:rPr>
              <w:t>等</w:t>
            </w:r>
            <w:r>
              <w:rPr>
                <w:rFonts w:hint="eastAsia" w:ascii="宋体" w:hAnsi="宋体" w:cs="宋体"/>
                <w:color w:val="auto"/>
                <w:szCs w:val="21"/>
                <w:highlight w:val="none"/>
              </w:rPr>
              <w:t>）供应系统的设计方案、系统配置、设备及管材选型</w:t>
            </w:r>
            <w:r>
              <w:rPr>
                <w:rFonts w:hint="eastAsia" w:ascii="宋体" w:hAnsi="宋体" w:cs="宋体"/>
                <w:color w:val="auto"/>
                <w:szCs w:val="21"/>
                <w:highlight w:val="none"/>
                <w:lang w:eastAsia="zh"/>
              </w:rPr>
              <w:t>、预留扩展</w:t>
            </w:r>
            <w:r>
              <w:rPr>
                <w:rFonts w:hint="eastAsia" w:ascii="宋体" w:hAnsi="宋体" w:cs="宋体"/>
                <w:color w:val="auto"/>
                <w:szCs w:val="21"/>
                <w:highlight w:val="none"/>
              </w:rPr>
              <w:t>等的合理性、科学性、全面性</w:t>
            </w:r>
            <w:r>
              <w:rPr>
                <w:rFonts w:hint="eastAsia" w:ascii="宋体" w:hAnsi="宋体" w:cs="宋体"/>
                <w:color w:val="auto"/>
                <w:szCs w:val="21"/>
                <w:highlight w:val="none"/>
                <w:lang w:eastAsia="zh"/>
                <w:woUserID w:val="2"/>
              </w:rPr>
              <w:t>；</w:t>
            </w:r>
            <w:r>
              <w:rPr>
                <w:rFonts w:hint="eastAsia" w:ascii="宋体" w:hAnsi="宋体" w:eastAsia="宋体" w:cs="宋体"/>
                <w:b w:val="0"/>
                <w:bCs w:val="0"/>
                <w:color w:val="auto"/>
                <w:kern w:val="2"/>
                <w:sz w:val="21"/>
                <w:szCs w:val="21"/>
                <w:highlight w:val="none"/>
                <w:lang w:val="en-US" w:eastAsia="zh" w:bidi="ar-SA"/>
              </w:rPr>
              <w:t>安全侦测与报警系统安全性、可靠性、及时性、针对性、可维护性</w:t>
            </w:r>
            <w:r>
              <w:rPr>
                <w:rFonts w:hint="eastAsia" w:ascii="宋体" w:hAnsi="宋体" w:eastAsia="宋体" w:cs="宋体"/>
                <w:b w:val="0"/>
                <w:bCs w:val="0"/>
                <w:color w:val="auto"/>
                <w:kern w:val="2"/>
                <w:sz w:val="21"/>
                <w:szCs w:val="21"/>
                <w:highlight w:val="none"/>
                <w:lang w:val="en-US" w:eastAsia="zh" w:bidi="ar-SA"/>
                <w:woUserID w:val="1"/>
              </w:rPr>
              <w:t>设计合理，性能全面等</w:t>
            </w:r>
            <w:r>
              <w:rPr>
                <w:rFonts w:hint="eastAsia" w:ascii="宋体" w:hAnsi="宋体" w:cs="宋体"/>
                <w:b w:val="0"/>
                <w:bCs w:val="0"/>
                <w:color w:val="auto"/>
                <w:kern w:val="2"/>
                <w:sz w:val="21"/>
                <w:szCs w:val="21"/>
                <w:highlight w:val="none"/>
                <w:lang w:val="en-US" w:eastAsia="zh" w:bidi="ar-SA"/>
                <w:woUserID w:val="2"/>
              </w:rPr>
              <w:t>方面</w:t>
            </w:r>
            <w:r>
              <w:rPr>
                <w:rFonts w:hint="eastAsia" w:ascii="宋体" w:hAnsi="宋体" w:eastAsia="宋体" w:cs="宋体"/>
                <w:b w:val="0"/>
                <w:bCs w:val="0"/>
                <w:color w:val="auto"/>
                <w:kern w:val="2"/>
                <w:sz w:val="21"/>
                <w:szCs w:val="21"/>
                <w:highlight w:val="none"/>
                <w:lang w:val="en-US" w:eastAsia="zh" w:bidi="ar-SA"/>
                <w:woUserID w:val="1"/>
              </w:rPr>
              <w:t>打分。</w:t>
            </w:r>
          </w:p>
          <w:p w14:paraId="429D3C0D">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优：</w:t>
            </w:r>
            <w:r>
              <w:rPr>
                <w:rFonts w:hint="eastAsia" w:ascii="宋体" w:hAnsi="宋体" w:cs="宋体"/>
                <w:color w:val="auto"/>
                <w:szCs w:val="21"/>
                <w:highlight w:val="none"/>
                <w:lang w:eastAsia="zh"/>
                <w:woUserID w:val="2"/>
              </w:rPr>
              <w:t>5</w:t>
            </w:r>
            <w:r>
              <w:rPr>
                <w:rFonts w:hint="eastAsia" w:ascii="宋体" w:hAnsi="宋体" w:cs="宋体"/>
                <w:color w:val="auto"/>
                <w:szCs w:val="21"/>
                <w:highlight w:val="none"/>
              </w:rPr>
              <w:t>分；</w:t>
            </w:r>
          </w:p>
          <w:p w14:paraId="01B15B8B">
            <w:pPr>
              <w:pStyle w:val="10"/>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
                <w:woUserID w:val="2"/>
              </w:rPr>
            </w:pPr>
            <w:r>
              <w:rPr>
                <w:rFonts w:hint="eastAsia" w:ascii="宋体" w:hAnsi="宋体" w:cs="宋体"/>
                <w:color w:val="auto"/>
                <w:szCs w:val="21"/>
                <w:highlight w:val="none"/>
              </w:rPr>
              <w:t>良：</w:t>
            </w:r>
            <w:r>
              <w:rPr>
                <w:rFonts w:hint="eastAsia" w:ascii="宋体" w:hAnsi="宋体" w:cs="宋体"/>
                <w:color w:val="auto"/>
                <w:szCs w:val="21"/>
                <w:highlight w:val="none"/>
                <w:lang w:eastAsia="zh"/>
                <w:woUserID w:val="2"/>
              </w:rPr>
              <w:t>2.5分</w:t>
            </w:r>
          </w:p>
          <w:p w14:paraId="6AFBB8CF">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差：</w:t>
            </w:r>
            <w:r>
              <w:rPr>
                <w:rFonts w:hint="eastAsia" w:ascii="宋体" w:hAnsi="宋体" w:cs="宋体"/>
                <w:color w:val="auto"/>
                <w:szCs w:val="21"/>
                <w:highlight w:val="none"/>
                <w:lang w:eastAsia="zh"/>
                <w:woUserID w:val="2"/>
              </w:rPr>
              <w:t>0.5分</w:t>
            </w:r>
            <w:r>
              <w:rPr>
                <w:rFonts w:hint="eastAsia" w:ascii="宋体" w:hAnsi="宋体" w:cs="宋体"/>
                <w:color w:val="auto"/>
                <w:szCs w:val="21"/>
                <w:highlight w:val="none"/>
              </w:rPr>
              <w:t>；</w:t>
            </w:r>
          </w:p>
          <w:p w14:paraId="35CDF276">
            <w:pPr>
              <w:pStyle w:val="10"/>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没有此项得0分。</w:t>
            </w:r>
          </w:p>
        </w:tc>
      </w:tr>
      <w:tr w14:paraId="4977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0EE38EA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2C616D3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147DACC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150192E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rPr>
            </w:pPr>
            <w:r>
              <w:rPr>
                <w:rFonts w:hint="eastAsia" w:ascii="宋体" w:hAnsi="宋体" w:eastAsia="宋体" w:cs="宋体"/>
                <w:color w:val="auto"/>
                <w:kern w:val="2"/>
                <w:sz w:val="21"/>
                <w:szCs w:val="21"/>
                <w:highlight w:val="none"/>
                <w:woUserID w:val="1"/>
              </w:rPr>
              <w:t>工艺冷却水系统二次配</w:t>
            </w:r>
            <w:r>
              <w:rPr>
                <w:rFonts w:hint="eastAsia" w:ascii="宋体" w:hAnsi="宋体" w:cs="宋体"/>
                <w:color w:val="auto"/>
                <w:szCs w:val="21"/>
                <w:highlight w:val="none"/>
                <w:lang w:eastAsia="zh"/>
              </w:rPr>
              <w:t>（</w:t>
            </w:r>
            <w:r>
              <w:rPr>
                <w:rFonts w:hint="eastAsia" w:ascii="宋体" w:hAnsi="宋体" w:cs="宋体"/>
                <w:color w:val="auto"/>
                <w:szCs w:val="21"/>
                <w:highlight w:val="none"/>
                <w:lang w:eastAsia="zh"/>
                <w:woUserID w:val="1"/>
              </w:rPr>
              <w:t>3</w:t>
            </w:r>
            <w:r>
              <w:rPr>
                <w:rFonts w:hint="eastAsia" w:ascii="宋体" w:hAnsi="宋体" w:cs="宋体"/>
                <w:color w:val="auto"/>
                <w:szCs w:val="21"/>
                <w:highlight w:val="none"/>
                <w:lang w:eastAsia="zh"/>
              </w:rPr>
              <w:t>分）</w:t>
            </w:r>
          </w:p>
        </w:tc>
        <w:tc>
          <w:tcPr>
            <w:tcW w:w="4769" w:type="dxa"/>
            <w:noWrap w:val="0"/>
            <w:vAlign w:val="center"/>
          </w:tcPr>
          <w:p w14:paraId="023FAD20">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lang w:eastAsia="zh"/>
              </w:rPr>
              <w:t>PCW管路系统设计、管线路径与分布、</w:t>
            </w:r>
            <w:r>
              <w:rPr>
                <w:rFonts w:hint="eastAsia" w:ascii="宋体" w:hAnsi="宋体" w:cs="宋体"/>
                <w:color w:val="auto"/>
                <w:szCs w:val="21"/>
                <w:highlight w:val="none"/>
              </w:rPr>
              <w:t>系统配置、设备及管材选型</w:t>
            </w:r>
            <w:r>
              <w:rPr>
                <w:rFonts w:hint="eastAsia" w:ascii="宋体" w:hAnsi="宋体" w:cs="宋体"/>
                <w:color w:val="auto"/>
                <w:szCs w:val="21"/>
                <w:highlight w:val="none"/>
                <w:lang w:eastAsia="zh"/>
              </w:rPr>
              <w:t>、测试方法</w:t>
            </w:r>
            <w:r>
              <w:rPr>
                <w:rFonts w:hint="eastAsia" w:ascii="宋体" w:hAnsi="宋体" w:cs="宋体"/>
                <w:color w:val="auto"/>
                <w:szCs w:val="21"/>
                <w:highlight w:val="none"/>
              </w:rPr>
              <w:t>等方案合理的合理性、科学性、全面性、满足</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要求的程度等打分。</w:t>
            </w:r>
          </w:p>
          <w:p w14:paraId="091DBBEE">
            <w:pPr>
              <w:pStyle w:val="10"/>
              <w:keepNext w:val="0"/>
              <w:keepLines w:val="0"/>
              <w:suppressLineNumbers w:val="0"/>
              <w:spacing w:before="0" w:beforeAutospacing="0" w:after="0" w:afterAutospacing="0"/>
              <w:ind w:left="0" w:right="0"/>
              <w:rPr>
                <w:rFonts w:hint="default" w:ascii="宋体" w:hAnsi="宋体" w:cs="宋体"/>
                <w:color w:val="auto"/>
                <w:szCs w:val="21"/>
                <w:highlight w:val="none"/>
                <w:woUserID w:val="1"/>
              </w:rPr>
            </w:pPr>
            <w:r>
              <w:rPr>
                <w:rFonts w:hint="eastAsia" w:ascii="宋体" w:hAnsi="宋体" w:cs="宋体"/>
                <w:color w:val="auto"/>
                <w:szCs w:val="21"/>
                <w:highlight w:val="none"/>
                <w:woUserID w:val="1"/>
              </w:rPr>
              <w:t>优：</w:t>
            </w:r>
            <w:r>
              <w:rPr>
                <w:rFonts w:hint="eastAsia" w:ascii="宋体" w:hAnsi="宋体" w:cs="宋体"/>
                <w:color w:val="auto"/>
                <w:szCs w:val="21"/>
                <w:highlight w:val="none"/>
                <w:lang w:eastAsia="zh"/>
                <w:woUserID w:val="1"/>
              </w:rPr>
              <w:t>3</w:t>
            </w:r>
            <w:r>
              <w:rPr>
                <w:rFonts w:hint="eastAsia" w:ascii="宋体" w:hAnsi="宋体" w:cs="宋体"/>
                <w:color w:val="auto"/>
                <w:szCs w:val="21"/>
                <w:highlight w:val="none"/>
                <w:woUserID w:val="1"/>
              </w:rPr>
              <w:t>分；</w:t>
            </w:r>
          </w:p>
          <w:p w14:paraId="5DDBD9D2">
            <w:pPr>
              <w:pStyle w:val="10"/>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
                <w:woUserID w:val="1"/>
              </w:rPr>
            </w:pPr>
            <w:r>
              <w:rPr>
                <w:rFonts w:hint="eastAsia" w:ascii="宋体" w:hAnsi="宋体" w:cs="宋体"/>
                <w:color w:val="auto"/>
                <w:szCs w:val="21"/>
                <w:highlight w:val="none"/>
                <w:woUserID w:val="1"/>
              </w:rPr>
              <w:t>良：</w:t>
            </w:r>
            <w:r>
              <w:rPr>
                <w:rFonts w:hint="eastAsia" w:ascii="宋体" w:hAnsi="宋体" w:cs="宋体"/>
                <w:color w:val="auto"/>
                <w:szCs w:val="21"/>
                <w:highlight w:val="none"/>
                <w:lang w:eastAsia="zh"/>
                <w:woUserID w:val="1"/>
              </w:rPr>
              <w:t>1.5分</w:t>
            </w:r>
          </w:p>
          <w:p w14:paraId="76344E40">
            <w:pPr>
              <w:pStyle w:val="10"/>
              <w:keepNext w:val="0"/>
              <w:keepLines w:val="0"/>
              <w:suppressLineNumbers w:val="0"/>
              <w:spacing w:before="0" w:beforeAutospacing="0" w:after="0" w:afterAutospacing="0"/>
              <w:ind w:left="0" w:right="0"/>
              <w:rPr>
                <w:rFonts w:hint="default" w:ascii="宋体" w:hAnsi="宋体" w:cs="宋体"/>
                <w:color w:val="auto"/>
                <w:szCs w:val="21"/>
                <w:highlight w:val="none"/>
                <w:woUserID w:val="1"/>
              </w:rPr>
            </w:pPr>
            <w:r>
              <w:rPr>
                <w:rFonts w:hint="eastAsia" w:ascii="宋体" w:hAnsi="宋体" w:cs="宋体"/>
                <w:color w:val="auto"/>
                <w:szCs w:val="21"/>
                <w:highlight w:val="none"/>
                <w:woUserID w:val="1"/>
              </w:rPr>
              <w:t>差：</w:t>
            </w:r>
            <w:r>
              <w:rPr>
                <w:rFonts w:hint="eastAsia" w:ascii="宋体" w:hAnsi="宋体" w:cs="宋体"/>
                <w:color w:val="auto"/>
                <w:szCs w:val="21"/>
                <w:highlight w:val="none"/>
                <w:lang w:eastAsia="zh"/>
                <w:woUserID w:val="1"/>
              </w:rPr>
              <w:t>0.5分</w:t>
            </w:r>
            <w:r>
              <w:rPr>
                <w:rFonts w:hint="eastAsia" w:ascii="宋体" w:hAnsi="宋体" w:cs="宋体"/>
                <w:color w:val="auto"/>
                <w:szCs w:val="21"/>
                <w:highlight w:val="none"/>
                <w:woUserID w:val="1"/>
              </w:rPr>
              <w:t>；</w:t>
            </w:r>
          </w:p>
          <w:p w14:paraId="32520681">
            <w:pPr>
              <w:pStyle w:val="10"/>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woUserID w:val="1"/>
              </w:rPr>
              <w:t>没有此项得0分。</w:t>
            </w:r>
            <w:r>
              <w:rPr>
                <w:rFonts w:hint="eastAsia" w:ascii="宋体" w:hAnsi="宋体" w:cs="宋体"/>
                <w:color w:val="auto"/>
                <w:szCs w:val="21"/>
                <w:highlight w:val="none"/>
              </w:rPr>
              <w:t>没有此项得0分。</w:t>
            </w:r>
          </w:p>
        </w:tc>
      </w:tr>
      <w:tr w14:paraId="0242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5E383A0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107631A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75D2EB1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601E5C3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尾气处理与真空管路系统</w:t>
            </w:r>
          </w:p>
          <w:p w14:paraId="0980593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w:t>
            </w:r>
            <w:r>
              <w:rPr>
                <w:rFonts w:hint="eastAsia" w:ascii="宋体" w:hAnsi="宋体" w:cs="宋体"/>
                <w:color w:val="auto"/>
                <w:szCs w:val="21"/>
                <w:highlight w:val="none"/>
                <w:lang w:eastAsia="zh"/>
                <w:woUserID w:val="3"/>
              </w:rPr>
              <w:t>2</w:t>
            </w:r>
            <w:r>
              <w:rPr>
                <w:rFonts w:hint="eastAsia" w:ascii="宋体" w:hAnsi="宋体" w:cs="宋体"/>
                <w:color w:val="auto"/>
                <w:szCs w:val="21"/>
                <w:highlight w:val="none"/>
                <w:lang w:eastAsia="zh"/>
              </w:rPr>
              <w:t>分）</w:t>
            </w:r>
          </w:p>
        </w:tc>
        <w:tc>
          <w:tcPr>
            <w:tcW w:w="4769" w:type="dxa"/>
            <w:noWrap w:val="0"/>
            <w:vAlign w:val="center"/>
          </w:tcPr>
          <w:p w14:paraId="64BD667C">
            <w:pPr>
              <w:pStyle w:val="10"/>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lang w:eastAsia="zh"/>
              </w:rPr>
              <w:t>尾气处理与真空管路系统设计、</w:t>
            </w:r>
            <w:r>
              <w:rPr>
                <w:rFonts w:hint="eastAsia" w:ascii="宋体" w:hAnsi="宋体" w:cs="宋体"/>
                <w:color w:val="auto"/>
                <w:szCs w:val="21"/>
                <w:highlight w:val="none"/>
              </w:rPr>
              <w:t>处理流程、系统配置、设备及管材选型</w:t>
            </w:r>
            <w:r>
              <w:rPr>
                <w:rFonts w:hint="eastAsia" w:ascii="宋体" w:hAnsi="宋体" w:cs="宋体"/>
                <w:color w:val="auto"/>
                <w:szCs w:val="21"/>
                <w:highlight w:val="none"/>
                <w:lang w:eastAsia="zh"/>
              </w:rPr>
              <w:t>、测试方法</w:t>
            </w:r>
            <w:r>
              <w:rPr>
                <w:rFonts w:hint="eastAsia" w:ascii="宋体" w:hAnsi="宋体" w:cs="宋体"/>
                <w:color w:val="auto"/>
                <w:szCs w:val="21"/>
                <w:highlight w:val="none"/>
              </w:rPr>
              <w:t>等方案合理的合理性、科学性、全面性、满足</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要求的程度等打分。</w:t>
            </w:r>
          </w:p>
          <w:p w14:paraId="6F88437A">
            <w:pPr>
              <w:pStyle w:val="10"/>
              <w:keepNext w:val="0"/>
              <w:keepLines w:val="0"/>
              <w:suppressLineNumbers w:val="0"/>
              <w:spacing w:before="0" w:beforeAutospacing="0" w:after="0" w:afterAutospacing="0"/>
              <w:ind w:left="0" w:right="0"/>
              <w:rPr>
                <w:rFonts w:hint="eastAsia" w:ascii="宋体" w:hAnsi="宋体" w:cs="宋体"/>
                <w:color w:val="auto"/>
                <w:szCs w:val="21"/>
                <w:highlight w:val="none"/>
                <w:woUserID w:val="2"/>
              </w:rPr>
            </w:pPr>
            <w:r>
              <w:rPr>
                <w:rFonts w:hint="eastAsia" w:ascii="宋体" w:hAnsi="宋体" w:cs="宋体"/>
                <w:color w:val="auto"/>
                <w:szCs w:val="21"/>
                <w:highlight w:val="none"/>
                <w:woUserID w:val="2"/>
              </w:rPr>
              <w:t>优：</w:t>
            </w:r>
            <w:r>
              <w:rPr>
                <w:rFonts w:hint="eastAsia" w:ascii="宋体" w:hAnsi="宋体" w:cs="宋体"/>
                <w:color w:val="auto"/>
                <w:szCs w:val="21"/>
                <w:highlight w:val="none"/>
                <w:lang w:eastAsia="zh"/>
                <w:woUserID w:val="3"/>
              </w:rPr>
              <w:t>2</w:t>
            </w:r>
            <w:r>
              <w:rPr>
                <w:rFonts w:hint="eastAsia" w:ascii="宋体" w:hAnsi="宋体" w:cs="宋体"/>
                <w:color w:val="auto"/>
                <w:szCs w:val="21"/>
                <w:highlight w:val="none"/>
                <w:woUserID w:val="2"/>
              </w:rPr>
              <w:t>分</w:t>
            </w:r>
          </w:p>
          <w:p w14:paraId="5F28C7A8">
            <w:pPr>
              <w:pStyle w:val="10"/>
              <w:keepNext w:val="0"/>
              <w:keepLines w:val="0"/>
              <w:suppressLineNumbers w:val="0"/>
              <w:spacing w:before="0" w:beforeAutospacing="0" w:after="0" w:afterAutospacing="0"/>
              <w:ind w:left="0" w:right="0"/>
              <w:rPr>
                <w:rFonts w:hint="default" w:ascii="宋体" w:hAnsi="宋体" w:cs="宋体"/>
                <w:color w:val="auto"/>
                <w:szCs w:val="21"/>
                <w:highlight w:val="none"/>
                <w:woUserID w:val="2"/>
              </w:rPr>
            </w:pPr>
            <w:r>
              <w:rPr>
                <w:rFonts w:hint="eastAsia" w:ascii="宋体" w:hAnsi="宋体" w:cs="宋体"/>
                <w:color w:val="auto"/>
                <w:szCs w:val="21"/>
                <w:highlight w:val="none"/>
                <w:woUserID w:val="2"/>
              </w:rPr>
              <w:t>良：1分</w:t>
            </w:r>
          </w:p>
          <w:p w14:paraId="3841CF3F">
            <w:pPr>
              <w:pStyle w:val="10"/>
              <w:keepNext w:val="0"/>
              <w:keepLines w:val="0"/>
              <w:suppressLineNumbers w:val="0"/>
              <w:spacing w:before="0" w:beforeAutospacing="0" w:after="0" w:afterAutospacing="0"/>
              <w:ind w:left="0" w:right="0"/>
              <w:rPr>
                <w:rFonts w:hint="default" w:ascii="宋体" w:hAnsi="宋体" w:cs="宋体"/>
                <w:color w:val="auto"/>
                <w:szCs w:val="21"/>
                <w:highlight w:val="none"/>
                <w:woUserID w:val="2"/>
              </w:rPr>
            </w:pPr>
            <w:r>
              <w:rPr>
                <w:rFonts w:hint="eastAsia" w:ascii="宋体" w:hAnsi="宋体" w:cs="宋体"/>
                <w:color w:val="auto"/>
                <w:szCs w:val="21"/>
                <w:highlight w:val="none"/>
                <w:woUserID w:val="2"/>
              </w:rPr>
              <w:t>差：0.5分</w:t>
            </w:r>
          </w:p>
          <w:p w14:paraId="51712E16">
            <w:pPr>
              <w:pStyle w:val="10"/>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没有此项得0分。</w:t>
            </w:r>
          </w:p>
        </w:tc>
      </w:tr>
      <w:tr w14:paraId="6BA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1DFE6CA3">
            <w:pPr>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Cs w:val="21"/>
                <w:highlight w:val="none"/>
              </w:rPr>
            </w:pPr>
          </w:p>
        </w:tc>
        <w:tc>
          <w:tcPr>
            <w:tcW w:w="1100" w:type="dxa"/>
            <w:vMerge w:val="continue"/>
            <w:noWrap w:val="0"/>
            <w:vAlign w:val="center"/>
          </w:tcPr>
          <w:p w14:paraId="00BEBCF0">
            <w:pPr>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Cs w:val="21"/>
                <w:highlight w:val="none"/>
              </w:rPr>
            </w:pPr>
          </w:p>
        </w:tc>
        <w:tc>
          <w:tcPr>
            <w:tcW w:w="1125" w:type="dxa"/>
            <w:vMerge w:val="continue"/>
            <w:noWrap w:val="0"/>
            <w:vAlign w:val="center"/>
          </w:tcPr>
          <w:p w14:paraId="69C5D3CB">
            <w:pPr>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Cs w:val="21"/>
                <w:highlight w:val="none"/>
              </w:rPr>
            </w:pPr>
          </w:p>
        </w:tc>
        <w:tc>
          <w:tcPr>
            <w:tcW w:w="1071" w:type="dxa"/>
            <w:noWrap w:val="0"/>
            <w:vAlign w:val="center"/>
          </w:tcPr>
          <w:p w14:paraId="6E89256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Cs w:val="21"/>
                <w:highlight w:val="none"/>
                <w:lang w:eastAsia="zh"/>
                <w:woUserID w:val="1"/>
              </w:rPr>
            </w:pPr>
            <w:r>
              <w:rPr>
                <w:rFonts w:hint="eastAsia" w:ascii="宋体" w:hAnsi="宋体" w:cs="宋体"/>
                <w:b/>
                <w:bCs/>
                <w:color w:val="auto"/>
                <w:szCs w:val="21"/>
                <w:highlight w:val="none"/>
                <w:lang w:bidi="ar"/>
                <w:woUserID w:val="1"/>
              </w:rPr>
              <w:t>石墨盘清洗装置</w:t>
            </w:r>
            <w:r>
              <w:rPr>
                <w:rFonts w:hint="eastAsia" w:ascii="宋体" w:hAnsi="宋体" w:cs="宋体"/>
                <w:b/>
                <w:bCs/>
                <w:color w:val="auto"/>
                <w:szCs w:val="21"/>
                <w:highlight w:val="none"/>
                <w:lang w:eastAsia="zh" w:bidi="ar"/>
                <w:woUserID w:val="1"/>
              </w:rPr>
              <w:t>（</w:t>
            </w:r>
            <w:r>
              <w:rPr>
                <w:rFonts w:hint="eastAsia" w:ascii="宋体" w:hAnsi="宋体" w:cs="宋体"/>
                <w:b/>
                <w:bCs/>
                <w:color w:val="auto"/>
                <w:szCs w:val="21"/>
                <w:highlight w:val="none"/>
                <w:lang w:eastAsia="zh" w:bidi="ar"/>
                <w:woUserID w:val="2"/>
              </w:rPr>
              <w:t>3</w:t>
            </w:r>
            <w:r>
              <w:rPr>
                <w:rFonts w:hint="eastAsia" w:ascii="宋体" w:hAnsi="宋体" w:cs="宋体"/>
                <w:b/>
                <w:bCs/>
                <w:color w:val="auto"/>
                <w:szCs w:val="21"/>
                <w:highlight w:val="none"/>
                <w:lang w:eastAsia="zh" w:bidi="ar"/>
                <w:woUserID w:val="1"/>
              </w:rPr>
              <w:t>分）</w:t>
            </w:r>
          </w:p>
        </w:tc>
        <w:tc>
          <w:tcPr>
            <w:tcW w:w="4769" w:type="dxa"/>
            <w:noWrap w:val="0"/>
            <w:vAlign w:val="center"/>
          </w:tcPr>
          <w:p w14:paraId="593DA6DF">
            <w:pPr>
              <w:keepNext w:val="0"/>
              <w:keepLines w:val="0"/>
              <w:suppressLineNumbers w:val="0"/>
              <w:spacing w:before="0" w:beforeAutospacing="0" w:after="0" w:afterAutospacing="0"/>
              <w:ind w:left="0" w:leftChars="0" w:right="0" w:firstLine="0" w:firstLineChars="0"/>
              <w:rPr>
                <w:rFonts w:hint="eastAsia" w:ascii="宋体" w:hAnsi="宋体" w:cs="宋体"/>
                <w:color w:val="auto"/>
                <w:szCs w:val="21"/>
                <w:highlight w:val="none"/>
                <w:lang w:eastAsia="zh" w:bidi="ar"/>
                <w:woUserID w:val="1"/>
              </w:rPr>
            </w:pPr>
            <w:r>
              <w:rPr>
                <w:rFonts w:hint="eastAsia" w:ascii="宋体" w:hAnsi="宋体" w:cs="宋体"/>
                <w:color w:val="auto"/>
                <w:szCs w:val="21"/>
                <w:highlight w:val="none"/>
                <w:lang w:eastAsia="zh" w:bidi="ar"/>
                <w:woUserID w:val="2"/>
              </w:rPr>
              <w:t>石磨盘清洗装置</w:t>
            </w:r>
            <w:r>
              <w:rPr>
                <w:rFonts w:hint="eastAsia" w:ascii="宋体" w:hAnsi="宋体" w:cs="宋体"/>
                <w:color w:val="auto"/>
                <w:szCs w:val="21"/>
                <w:highlight w:val="none"/>
                <w:lang w:eastAsia="zh" w:bidi="ar"/>
                <w:woUserID w:val="1"/>
              </w:rPr>
              <w:t>提供的性能参数表满足技术要求，根据</w:t>
            </w:r>
            <w:r>
              <w:rPr>
                <w:rFonts w:hint="eastAsia" w:ascii="宋体" w:hAnsi="宋体" w:cs="宋体"/>
                <w:color w:val="auto"/>
                <w:szCs w:val="21"/>
                <w:highlight w:val="none"/>
                <w:lang w:eastAsia="zh" w:bidi="ar"/>
                <w:woUserID w:val="2"/>
              </w:rPr>
              <w:t>提供设备</w:t>
            </w:r>
            <w:r>
              <w:rPr>
                <w:rFonts w:hint="eastAsia" w:ascii="宋体" w:hAnsi="宋体" w:cs="宋体"/>
                <w:color w:val="auto"/>
                <w:szCs w:val="21"/>
                <w:highlight w:val="none"/>
                <w:lang w:eastAsia="zh" w:bidi="ar"/>
                <w:woUserID w:val="1"/>
              </w:rPr>
              <w:t>的</w:t>
            </w:r>
            <w:r>
              <w:rPr>
                <w:rFonts w:hint="eastAsia" w:ascii="宋体" w:hAnsi="宋体" w:cs="宋体"/>
                <w:color w:val="auto"/>
                <w:szCs w:val="21"/>
                <w:highlight w:val="none"/>
                <w:lang w:eastAsia="zh" w:bidi="ar"/>
                <w:woUserID w:val="2"/>
              </w:rPr>
              <w:t>先进性、</w:t>
            </w:r>
            <w:r>
              <w:rPr>
                <w:rFonts w:hint="eastAsia" w:ascii="宋体" w:hAnsi="宋体" w:cs="宋体"/>
                <w:color w:val="auto"/>
                <w:szCs w:val="21"/>
                <w:highlight w:val="none"/>
                <w:lang w:eastAsia="zh" w:bidi="ar"/>
                <w:woUserID w:val="1"/>
              </w:rPr>
              <w:t>可靠性、安全性、可维护性，报价合理性等方面打分。</w:t>
            </w:r>
          </w:p>
          <w:p w14:paraId="3D6A865A">
            <w:pPr>
              <w:keepNext w:val="0"/>
              <w:keepLines w:val="0"/>
              <w:suppressLineNumbers w:val="0"/>
              <w:spacing w:before="0" w:beforeAutospacing="0" w:after="0" w:afterAutospacing="0"/>
              <w:ind w:left="0" w:right="0"/>
              <w:jc w:val="left"/>
              <w:rPr>
                <w:rFonts w:hint="default" w:ascii="宋体" w:hAnsi="宋体" w:cs="宋体"/>
                <w:color w:val="auto"/>
                <w:szCs w:val="21"/>
                <w:highlight w:val="none"/>
                <w:woUserID w:val="2"/>
              </w:rPr>
            </w:pPr>
            <w:r>
              <w:rPr>
                <w:rFonts w:hint="eastAsia" w:ascii="宋体" w:hAnsi="宋体" w:cs="宋体"/>
                <w:color w:val="auto"/>
                <w:szCs w:val="21"/>
                <w:highlight w:val="none"/>
                <w:woUserID w:val="2"/>
              </w:rPr>
              <w:t>优：</w:t>
            </w:r>
            <w:r>
              <w:rPr>
                <w:rFonts w:hint="eastAsia" w:ascii="宋体" w:hAnsi="宋体" w:cs="宋体"/>
                <w:color w:val="auto"/>
                <w:szCs w:val="21"/>
                <w:highlight w:val="none"/>
                <w:lang w:eastAsia="zh"/>
                <w:woUserID w:val="2"/>
              </w:rPr>
              <w:t>3</w:t>
            </w:r>
            <w:r>
              <w:rPr>
                <w:rFonts w:hint="eastAsia" w:ascii="宋体" w:hAnsi="宋体" w:cs="宋体"/>
                <w:color w:val="auto"/>
                <w:szCs w:val="21"/>
                <w:highlight w:val="none"/>
                <w:woUserID w:val="2"/>
              </w:rPr>
              <w:t>分</w:t>
            </w:r>
          </w:p>
          <w:p w14:paraId="10601E33">
            <w:pPr>
              <w:keepNext w:val="0"/>
              <w:keepLines w:val="0"/>
              <w:suppressLineNumbers w:val="0"/>
              <w:spacing w:before="0" w:beforeAutospacing="0" w:after="0" w:afterAutospacing="0"/>
              <w:ind w:left="0" w:right="0"/>
              <w:jc w:val="left"/>
              <w:rPr>
                <w:rFonts w:hint="default" w:ascii="宋体" w:hAnsi="宋体" w:cs="宋体"/>
                <w:color w:val="auto"/>
                <w:szCs w:val="21"/>
                <w:highlight w:val="none"/>
                <w:woUserID w:val="2"/>
              </w:rPr>
            </w:pPr>
            <w:r>
              <w:rPr>
                <w:rFonts w:hint="eastAsia" w:ascii="宋体" w:hAnsi="宋体" w:cs="宋体"/>
                <w:color w:val="auto"/>
                <w:szCs w:val="21"/>
                <w:highlight w:val="none"/>
                <w:woUserID w:val="2"/>
              </w:rPr>
              <w:t>良：</w:t>
            </w:r>
            <w:r>
              <w:rPr>
                <w:rFonts w:hint="eastAsia" w:ascii="宋体" w:hAnsi="宋体" w:cs="宋体"/>
                <w:color w:val="auto"/>
                <w:szCs w:val="21"/>
                <w:highlight w:val="none"/>
                <w:lang w:eastAsia="zh"/>
                <w:woUserID w:val="2"/>
              </w:rPr>
              <w:t>1.5</w:t>
            </w:r>
            <w:r>
              <w:rPr>
                <w:rFonts w:hint="eastAsia" w:ascii="宋体" w:hAnsi="宋体" w:cs="宋体"/>
                <w:color w:val="auto"/>
                <w:szCs w:val="21"/>
                <w:highlight w:val="none"/>
                <w:woUserID w:val="2"/>
              </w:rPr>
              <w:t>分</w:t>
            </w:r>
          </w:p>
          <w:p w14:paraId="47887555">
            <w:pPr>
              <w:pStyle w:val="10"/>
              <w:keepNext w:val="0"/>
              <w:keepLines w:val="0"/>
              <w:suppressLineNumbers w:val="0"/>
              <w:spacing w:before="0" w:beforeAutospacing="0" w:after="0" w:afterAutospacing="0"/>
              <w:ind w:left="0" w:right="0"/>
              <w:rPr>
                <w:rFonts w:hint="default" w:ascii="宋体" w:hAnsi="宋体" w:cs="宋体"/>
                <w:color w:val="auto"/>
                <w:spacing w:val="8"/>
                <w:position w:val="1"/>
                <w:szCs w:val="21"/>
                <w:highlight w:val="none"/>
                <w:woUserID w:val="2"/>
              </w:rPr>
            </w:pPr>
            <w:r>
              <w:rPr>
                <w:rFonts w:hint="eastAsia" w:ascii="宋体" w:hAnsi="宋体" w:cs="宋体"/>
                <w:color w:val="auto"/>
                <w:szCs w:val="21"/>
                <w:highlight w:val="none"/>
                <w:woUserID w:val="2"/>
              </w:rPr>
              <w:t>差：0.5分</w:t>
            </w:r>
          </w:p>
          <w:p w14:paraId="07568D04">
            <w:pPr>
              <w:keepNext w:val="0"/>
              <w:keepLines w:val="0"/>
              <w:suppressLineNumbers w:val="0"/>
              <w:spacing w:before="0" w:beforeAutospacing="0" w:after="0" w:afterAutospacing="0"/>
              <w:ind w:left="0" w:right="0"/>
              <w:jc w:val="left"/>
              <w:rPr>
                <w:rFonts w:hint="eastAsia"/>
                <w:color w:val="auto"/>
                <w:highlight w:val="none"/>
                <w:lang w:eastAsia="zh"/>
              </w:rPr>
            </w:pPr>
            <w:r>
              <w:rPr>
                <w:rFonts w:hint="eastAsia" w:ascii="宋体" w:hAnsi="宋体" w:eastAsia="宋体" w:cs="宋体"/>
                <w:color w:val="auto"/>
                <w:szCs w:val="21"/>
                <w:highlight w:val="none"/>
              </w:rPr>
              <w:t>没有此项得0分。</w:t>
            </w:r>
          </w:p>
        </w:tc>
      </w:tr>
      <w:tr w14:paraId="02E1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5CE364D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57DF018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6B00FB7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71" w:type="dxa"/>
            <w:shd w:val="clear" w:color="auto" w:fill="auto"/>
            <w:noWrap w:val="0"/>
            <w:vAlign w:val="center"/>
          </w:tcPr>
          <w:p w14:paraId="6D758D24">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
                <w:woUserID w:val="2"/>
              </w:rPr>
            </w:pPr>
            <w:r>
              <w:rPr>
                <w:rFonts w:hint="eastAsia" w:ascii="宋体" w:hAnsi="宋体" w:eastAsia="宋体" w:cs="宋体"/>
                <w:color w:val="auto"/>
                <w:szCs w:val="21"/>
                <w:highlight w:val="none"/>
                <w:lang w:eastAsia="zh"/>
                <w:woUserID w:val="2"/>
              </w:rPr>
              <w:t>主要材料</w:t>
            </w:r>
          </w:p>
          <w:p w14:paraId="0DE9AAE7">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szCs w:val="21"/>
                <w:highlight w:val="none"/>
                <w:lang w:eastAsia="zh"/>
                <w:woUserID w:val="2"/>
              </w:rPr>
              <w:t>（8分）</w:t>
            </w:r>
          </w:p>
        </w:tc>
        <w:tc>
          <w:tcPr>
            <w:tcW w:w="4769" w:type="dxa"/>
            <w:shd w:val="clear" w:color="auto" w:fill="auto"/>
            <w:noWrap w:val="0"/>
            <w:vAlign w:val="center"/>
          </w:tcPr>
          <w:p w14:paraId="55B85230">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
              </w:rPr>
              <w:t>提供材料清单，</w:t>
            </w:r>
            <w:r>
              <w:rPr>
                <w:rFonts w:hint="eastAsia" w:ascii="宋体" w:hAnsi="宋体" w:eastAsia="宋体" w:cs="宋体"/>
                <w:color w:val="auto"/>
                <w:szCs w:val="21"/>
                <w:highlight w:val="none"/>
                <w:lang w:eastAsia="zh"/>
                <w:woUserID w:val="2"/>
              </w:rPr>
              <w:t>满足SEMI行业标准，</w:t>
            </w:r>
            <w:r>
              <w:rPr>
                <w:rFonts w:hint="eastAsia" w:ascii="宋体" w:hAnsi="宋体" w:eastAsia="宋体" w:cs="宋体"/>
                <w:color w:val="auto"/>
                <w:szCs w:val="21"/>
                <w:highlight w:val="none"/>
                <w:lang w:eastAsia="zh"/>
              </w:rPr>
              <w:t>根据材料清单的完整性、合理性、科学性、可靠性进行评分：</w:t>
            </w:r>
          </w:p>
          <w:p w14:paraId="1F6F1F4A">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
              </w:rPr>
              <w:t>优：8分</w:t>
            </w:r>
          </w:p>
          <w:p w14:paraId="7B6F98CA">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
              </w:rPr>
              <w:t>良：4分</w:t>
            </w:r>
          </w:p>
          <w:p w14:paraId="69E24C6A">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
              </w:rPr>
            </w:pPr>
            <w:r>
              <w:rPr>
                <w:rFonts w:hint="eastAsia" w:ascii="宋体" w:hAnsi="宋体" w:eastAsia="宋体" w:cs="宋体"/>
                <w:color w:val="auto"/>
                <w:szCs w:val="21"/>
                <w:highlight w:val="none"/>
                <w:lang w:eastAsia="zh"/>
              </w:rPr>
              <w:t>差：2分</w:t>
            </w:r>
          </w:p>
          <w:p w14:paraId="10241332">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szCs w:val="21"/>
                <w:highlight w:val="none"/>
                <w:lang w:eastAsia="zh"/>
              </w:rPr>
              <w:t>无此项：0分</w:t>
            </w:r>
          </w:p>
        </w:tc>
      </w:tr>
      <w:tr w14:paraId="198B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60A185B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0D293FC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2B6F6B3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595ECDE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rPr>
              <w:t>效果</w:t>
            </w:r>
            <w:r>
              <w:rPr>
                <w:rFonts w:hint="eastAsia" w:ascii="宋体" w:hAnsi="宋体" w:cs="宋体"/>
                <w:color w:val="auto"/>
                <w:szCs w:val="21"/>
                <w:highlight w:val="none"/>
                <w:lang w:eastAsia="zh"/>
              </w:rPr>
              <w:t>展示设计</w:t>
            </w:r>
          </w:p>
          <w:p w14:paraId="01AEA83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w:t>
            </w:r>
            <w:r>
              <w:rPr>
                <w:rFonts w:hint="eastAsia" w:ascii="宋体" w:hAnsi="宋体" w:cs="宋体"/>
                <w:color w:val="auto"/>
                <w:szCs w:val="21"/>
                <w:highlight w:val="none"/>
                <w:lang w:eastAsia="zh"/>
                <w:woUserID w:val="2"/>
              </w:rPr>
              <w:t>2</w:t>
            </w:r>
            <w:r>
              <w:rPr>
                <w:rFonts w:hint="eastAsia" w:ascii="宋体" w:hAnsi="宋体" w:cs="宋体"/>
                <w:color w:val="auto"/>
                <w:szCs w:val="21"/>
                <w:highlight w:val="none"/>
                <w:lang w:eastAsia="zh"/>
              </w:rPr>
              <w:t>分）</w:t>
            </w:r>
          </w:p>
          <w:p w14:paraId="137F4DC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rPr>
            </w:pPr>
          </w:p>
        </w:tc>
        <w:tc>
          <w:tcPr>
            <w:tcW w:w="4769" w:type="dxa"/>
            <w:noWrap w:val="0"/>
            <w:vAlign w:val="center"/>
          </w:tcPr>
          <w:p w14:paraId="3EF70A6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lang w:eastAsia="zh"/>
              </w:rPr>
              <w:t>各管线布局呈现的整体效果，设备的动态展示设计方案、</w:t>
            </w:r>
            <w:r>
              <w:rPr>
                <w:rFonts w:hint="eastAsia" w:ascii="宋体" w:hAnsi="宋体" w:cs="宋体"/>
                <w:color w:val="auto"/>
                <w:szCs w:val="21"/>
                <w:highlight w:val="none"/>
                <w:lang w:eastAsia="zh"/>
                <w:woUserID w:val="2"/>
              </w:rPr>
              <w:t>无窗区域房间改造、</w:t>
            </w:r>
            <w:r>
              <w:rPr>
                <w:rFonts w:hint="eastAsia" w:ascii="宋体" w:hAnsi="宋体" w:cs="宋体"/>
                <w:color w:val="auto"/>
                <w:szCs w:val="21"/>
                <w:highlight w:val="none"/>
                <w:lang w:eastAsia="zh"/>
              </w:rPr>
              <w:t>布线设计、标识标牌设计</w:t>
            </w:r>
            <w:r>
              <w:rPr>
                <w:rFonts w:hint="eastAsia" w:ascii="宋体" w:hAnsi="宋体" w:cs="宋体"/>
                <w:color w:val="auto"/>
                <w:szCs w:val="21"/>
                <w:highlight w:val="none"/>
                <w:lang w:eastAsia="zh"/>
                <w:woUserID w:val="2"/>
              </w:rPr>
              <w:t>、与一次配结合的效果统一性</w:t>
            </w:r>
            <w:r>
              <w:rPr>
                <w:rFonts w:hint="eastAsia" w:ascii="宋体" w:hAnsi="宋体" w:cs="宋体"/>
                <w:color w:val="auto"/>
                <w:szCs w:val="21"/>
                <w:highlight w:val="none"/>
              </w:rPr>
              <w:t>等打分。</w:t>
            </w:r>
          </w:p>
          <w:p w14:paraId="4403E602">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优：2分</w:t>
            </w:r>
          </w:p>
          <w:p w14:paraId="29E6F5EE">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良：1分</w:t>
            </w:r>
          </w:p>
          <w:p w14:paraId="6B8A2E0D">
            <w:pPr>
              <w:pStyle w:val="10"/>
              <w:keepNext w:val="0"/>
              <w:keepLines w:val="0"/>
              <w:suppressLineNumbers w:val="0"/>
              <w:spacing w:before="0" w:beforeAutospacing="0" w:after="0" w:afterAutospacing="0"/>
              <w:ind w:left="0" w:right="0"/>
              <w:rPr>
                <w:rFonts w:hint="default" w:ascii="宋体" w:hAnsi="宋体" w:cs="宋体"/>
                <w:color w:val="auto"/>
                <w:spacing w:val="8"/>
                <w:position w:val="1"/>
                <w:szCs w:val="21"/>
                <w:highlight w:val="none"/>
              </w:rPr>
            </w:pPr>
            <w:r>
              <w:rPr>
                <w:rFonts w:hint="eastAsia" w:ascii="宋体" w:hAnsi="宋体" w:cs="宋体"/>
                <w:color w:val="auto"/>
                <w:szCs w:val="21"/>
                <w:highlight w:val="none"/>
              </w:rPr>
              <w:t>差：0.5分</w:t>
            </w:r>
          </w:p>
          <w:p w14:paraId="4E31A89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没有此项得0分。</w:t>
            </w:r>
          </w:p>
        </w:tc>
      </w:tr>
      <w:tr w14:paraId="5B52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1DD3E7F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49C41B6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6965" w:type="dxa"/>
            <w:gridSpan w:val="3"/>
            <w:noWrap w:val="0"/>
            <w:vAlign w:val="center"/>
          </w:tcPr>
          <w:p w14:paraId="3F04B3B2">
            <w:pPr>
              <w:keepNext w:val="0"/>
              <w:keepLines w:val="0"/>
              <w:suppressLineNumbers w:val="0"/>
              <w:spacing w:before="0" w:beforeAutospacing="0" w:after="0" w:afterAutospacing="0"/>
              <w:ind w:left="0" w:right="0"/>
              <w:rPr>
                <w:rFonts w:hint="default" w:ascii="宋体" w:hAnsi="宋体" w:cs="宋体"/>
                <w:b/>
                <w:bCs/>
                <w:color w:val="auto"/>
                <w:szCs w:val="21"/>
                <w:highlight w:val="none"/>
              </w:rPr>
            </w:pPr>
            <w:r>
              <w:rPr>
                <w:rFonts w:hint="eastAsia" w:ascii="宋体" w:hAnsi="宋体" w:cs="宋体"/>
                <w:b/>
                <w:bCs/>
                <w:color w:val="auto"/>
                <w:szCs w:val="21"/>
                <w:highlight w:val="none"/>
              </w:rPr>
              <w:t>优：内容详实，方案科学、合理、安全，考虑周全，措施到位，针对性强，完全能够满足</w:t>
            </w:r>
            <w:r>
              <w:rPr>
                <w:rFonts w:hint="eastAsia" w:ascii="宋体" w:hAnsi="宋体" w:cs="宋体"/>
                <w:b/>
                <w:bCs/>
                <w:color w:val="auto"/>
                <w:szCs w:val="21"/>
                <w:highlight w:val="none"/>
                <w:lang w:eastAsia="zh"/>
                <w:woUserID w:val="3"/>
              </w:rPr>
              <w:t>采购</w:t>
            </w:r>
            <w:r>
              <w:rPr>
                <w:rFonts w:hint="eastAsia" w:ascii="宋体" w:hAnsi="宋体" w:cs="宋体"/>
                <w:b/>
                <w:bCs/>
                <w:color w:val="auto"/>
                <w:szCs w:val="21"/>
                <w:highlight w:val="none"/>
              </w:rPr>
              <w:t>工程的实际需要。</w:t>
            </w:r>
          </w:p>
          <w:p w14:paraId="42EBFDE7">
            <w:pPr>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良：内容完整，方案基本科学、合理、安全，基本考虑周全，措施基本到位，针对性较强，可以满足</w:t>
            </w:r>
            <w:r>
              <w:rPr>
                <w:rFonts w:hint="eastAsia" w:ascii="宋体" w:hAnsi="宋体" w:cs="宋体"/>
                <w:b/>
                <w:bCs/>
                <w:color w:val="auto"/>
                <w:szCs w:val="21"/>
                <w:highlight w:val="none"/>
                <w:lang w:eastAsia="zh"/>
                <w:woUserID w:val="3"/>
              </w:rPr>
              <w:t>采购</w:t>
            </w:r>
            <w:r>
              <w:rPr>
                <w:rFonts w:hint="eastAsia" w:ascii="宋体" w:hAnsi="宋体" w:cs="宋体"/>
                <w:b/>
                <w:bCs/>
                <w:color w:val="auto"/>
                <w:szCs w:val="21"/>
                <w:highlight w:val="none"/>
              </w:rPr>
              <w:t>工程的实际需要，但有个别细节需要进一步完善或提高。</w:t>
            </w:r>
          </w:p>
          <w:p w14:paraId="352FCF72">
            <w:pPr>
              <w:keepNext w:val="0"/>
              <w:keepLines w:val="0"/>
              <w:suppressLineNumbers w:val="0"/>
              <w:spacing w:before="0" w:beforeAutospacing="0" w:after="0" w:afterAutospacing="0"/>
              <w:ind w:left="0" w:right="0"/>
              <w:rPr>
                <w:rFonts w:hint="eastAsia" w:ascii="宋体" w:hAnsi="宋体" w:cs="宋体"/>
                <w:b/>
                <w:bCs/>
                <w:color w:val="auto"/>
                <w:szCs w:val="21"/>
                <w:highlight w:val="none"/>
              </w:rPr>
            </w:pPr>
            <w:r>
              <w:rPr>
                <w:rFonts w:hint="eastAsia" w:ascii="宋体" w:hAnsi="宋体" w:cs="宋体"/>
                <w:b/>
                <w:bCs/>
                <w:color w:val="auto"/>
                <w:szCs w:val="21"/>
                <w:highlight w:val="none"/>
              </w:rPr>
              <w:t>差：内容不完整，方案在科学、合理、安全性方面差，考虑非常不周，措施基本不到位，没有针对性，不能满足</w:t>
            </w:r>
            <w:r>
              <w:rPr>
                <w:rFonts w:hint="eastAsia" w:ascii="宋体" w:hAnsi="宋体" w:cs="宋体"/>
                <w:b/>
                <w:bCs/>
                <w:color w:val="auto"/>
                <w:szCs w:val="21"/>
                <w:highlight w:val="none"/>
                <w:lang w:eastAsia="zh"/>
                <w:woUserID w:val="3"/>
              </w:rPr>
              <w:t>采购</w:t>
            </w:r>
            <w:r>
              <w:rPr>
                <w:rFonts w:hint="eastAsia" w:ascii="宋体" w:hAnsi="宋体" w:cs="宋体"/>
                <w:b/>
                <w:bCs/>
                <w:color w:val="auto"/>
                <w:szCs w:val="21"/>
                <w:highlight w:val="none"/>
              </w:rPr>
              <w:t>工程的实际需要。</w:t>
            </w:r>
          </w:p>
        </w:tc>
      </w:tr>
      <w:tr w14:paraId="080D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6FA3A7E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5578617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restart"/>
            <w:noWrap w:val="0"/>
            <w:vAlign w:val="center"/>
          </w:tcPr>
          <w:p w14:paraId="38EBA95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施工实施方案（</w:t>
            </w:r>
            <w:r>
              <w:rPr>
                <w:rFonts w:hint="eastAsia" w:ascii="宋体" w:hAnsi="宋体" w:cs="宋体"/>
                <w:color w:val="auto"/>
                <w:szCs w:val="21"/>
                <w:highlight w:val="none"/>
                <w:lang w:eastAsia="zh"/>
                <w:woUserID w:val="2"/>
              </w:rPr>
              <w:t>24</w:t>
            </w:r>
            <w:r>
              <w:rPr>
                <w:rFonts w:hint="eastAsia" w:ascii="宋体" w:hAnsi="宋体" w:cs="宋体"/>
                <w:color w:val="auto"/>
                <w:szCs w:val="21"/>
                <w:highlight w:val="none"/>
              </w:rPr>
              <w:t>分）</w:t>
            </w:r>
          </w:p>
        </w:tc>
        <w:tc>
          <w:tcPr>
            <w:tcW w:w="1071" w:type="dxa"/>
            <w:noWrap w:val="0"/>
            <w:vAlign w:val="center"/>
          </w:tcPr>
          <w:p w14:paraId="72A3E85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主要施工方案与技术措施</w:t>
            </w:r>
          </w:p>
          <w:p w14:paraId="309D549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
                <w:woUserID w:val="2"/>
              </w:rPr>
              <w:t>5</w:t>
            </w:r>
            <w:r>
              <w:rPr>
                <w:rFonts w:hint="eastAsia" w:ascii="宋体" w:hAnsi="宋体" w:cs="宋体"/>
                <w:color w:val="auto"/>
                <w:szCs w:val="21"/>
                <w:highlight w:val="none"/>
              </w:rPr>
              <w:t>分）</w:t>
            </w:r>
          </w:p>
        </w:tc>
        <w:tc>
          <w:tcPr>
            <w:tcW w:w="4769" w:type="dxa"/>
            <w:noWrap w:val="0"/>
            <w:vAlign w:val="center"/>
          </w:tcPr>
          <w:p w14:paraId="7048C6B1">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（1）施工方案（含工程特点、施工重点与难点及绿色施工）总体安排合理，运用先进、合理的施工工艺、施工机械；对施工难点有先进和合理的建议得</w:t>
            </w:r>
            <w:r>
              <w:rPr>
                <w:rFonts w:hint="eastAsia" w:ascii="宋体" w:hAnsi="宋体" w:cs="宋体"/>
                <w:color w:val="auto"/>
                <w:szCs w:val="21"/>
                <w:highlight w:val="none"/>
                <w:lang w:eastAsia="zh"/>
                <w:woUserID w:val="2"/>
              </w:rPr>
              <w:t>5</w:t>
            </w:r>
            <w:r>
              <w:rPr>
                <w:rFonts w:hint="eastAsia" w:ascii="宋体" w:hAnsi="宋体" w:cs="宋体"/>
                <w:color w:val="auto"/>
                <w:szCs w:val="21"/>
                <w:highlight w:val="none"/>
              </w:rPr>
              <w:t>分；</w:t>
            </w:r>
          </w:p>
          <w:p w14:paraId="729F4876">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（2）施工方案（含工程特点、施工重点与难点及绿色施工）总体安排较合理，施工工艺、施工机械较合理、可行；对施工难点有合理的建议得</w:t>
            </w:r>
            <w:r>
              <w:rPr>
                <w:rFonts w:hint="eastAsia" w:ascii="宋体" w:hAnsi="宋体" w:cs="宋体"/>
                <w:color w:val="auto"/>
                <w:szCs w:val="21"/>
                <w:highlight w:val="none"/>
                <w:lang w:eastAsia="zh"/>
                <w:woUserID w:val="3"/>
              </w:rPr>
              <w:t>3</w:t>
            </w:r>
            <w:r>
              <w:rPr>
                <w:rFonts w:hint="eastAsia" w:ascii="宋体" w:hAnsi="宋体" w:cs="宋体"/>
                <w:color w:val="auto"/>
                <w:szCs w:val="21"/>
                <w:highlight w:val="none"/>
              </w:rPr>
              <w:t>分；</w:t>
            </w:r>
          </w:p>
          <w:p w14:paraId="58B05A7A">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
                <w:woUserID w:val="3"/>
              </w:rPr>
            </w:pPr>
            <w:r>
              <w:rPr>
                <w:rFonts w:hint="eastAsia" w:ascii="宋体" w:hAnsi="宋体" w:eastAsia="宋体" w:cs="宋体"/>
                <w:color w:val="auto"/>
                <w:szCs w:val="21"/>
                <w:highlight w:val="none"/>
                <w:lang w:eastAsia="zh"/>
                <w:woUserID w:val="3"/>
              </w:rPr>
              <w:t>（3）</w:t>
            </w:r>
            <w:r>
              <w:rPr>
                <w:rFonts w:hint="eastAsia" w:ascii="宋体" w:hAnsi="宋体" w:cs="宋体"/>
                <w:color w:val="auto"/>
                <w:szCs w:val="21"/>
                <w:highlight w:val="none"/>
                <w:woUserID w:val="3"/>
              </w:rPr>
              <w:t>施工方案（含工程特点、施工重点与难点及绿色施工）总体安排较</w:t>
            </w:r>
            <w:r>
              <w:rPr>
                <w:rFonts w:hint="eastAsia" w:ascii="宋体" w:hAnsi="宋体" w:cs="宋体"/>
                <w:color w:val="auto"/>
                <w:szCs w:val="21"/>
                <w:highlight w:val="none"/>
                <w:lang w:eastAsia="zh"/>
                <w:woUserID w:val="3"/>
              </w:rPr>
              <w:t>差，内容有所缺失；</w:t>
            </w:r>
            <w:r>
              <w:rPr>
                <w:rFonts w:hint="eastAsia" w:ascii="宋体" w:hAnsi="宋体" w:cs="宋体"/>
                <w:color w:val="auto"/>
                <w:szCs w:val="21"/>
                <w:highlight w:val="none"/>
                <w:woUserID w:val="3"/>
              </w:rPr>
              <w:t>对施工难点建议</w:t>
            </w:r>
            <w:r>
              <w:rPr>
                <w:rFonts w:hint="eastAsia" w:ascii="宋体" w:hAnsi="宋体" w:eastAsia="宋体" w:cs="宋体"/>
                <w:color w:val="auto"/>
                <w:kern w:val="2"/>
                <w:sz w:val="21"/>
                <w:szCs w:val="21"/>
                <w:highlight w:val="none"/>
                <w:lang w:val="en-US" w:eastAsia="zh-CN" w:bidi="ar"/>
                <w:woUserID w:val="3"/>
              </w:rPr>
              <w:t>内容</w:t>
            </w:r>
            <w:r>
              <w:rPr>
                <w:rFonts w:hint="eastAsia" w:ascii="宋体" w:hAnsi="宋体" w:eastAsia="宋体" w:cs="宋体"/>
                <w:color w:val="auto"/>
                <w:kern w:val="0"/>
                <w:sz w:val="21"/>
                <w:szCs w:val="21"/>
                <w:highlight w:val="none"/>
                <w:lang w:val="en-US" w:eastAsia="zh-CN" w:bidi="ar"/>
                <w:woUserID w:val="3"/>
              </w:rPr>
              <w:t>笼统简单</w:t>
            </w:r>
            <w:r>
              <w:rPr>
                <w:rFonts w:hint="eastAsia" w:ascii="宋体" w:hAnsi="宋体" w:cs="宋体"/>
                <w:color w:val="auto"/>
                <w:szCs w:val="21"/>
                <w:highlight w:val="none"/>
                <w:woUserID w:val="3"/>
              </w:rPr>
              <w:t>得</w:t>
            </w:r>
            <w:r>
              <w:rPr>
                <w:rFonts w:hint="eastAsia" w:ascii="宋体" w:hAnsi="宋体" w:cs="宋体"/>
                <w:color w:val="auto"/>
                <w:szCs w:val="21"/>
                <w:highlight w:val="none"/>
                <w:lang w:eastAsia="zh"/>
                <w:woUserID w:val="3"/>
              </w:rPr>
              <w:t>1</w:t>
            </w:r>
            <w:r>
              <w:rPr>
                <w:rFonts w:hint="eastAsia" w:ascii="宋体" w:hAnsi="宋体" w:cs="宋体"/>
                <w:color w:val="auto"/>
                <w:szCs w:val="21"/>
                <w:highlight w:val="none"/>
                <w:woUserID w:val="3"/>
              </w:rPr>
              <w:t>分</w:t>
            </w:r>
            <w:r>
              <w:rPr>
                <w:rFonts w:hint="eastAsia" w:ascii="宋体" w:hAnsi="宋体" w:cs="宋体"/>
                <w:color w:val="auto"/>
                <w:szCs w:val="21"/>
                <w:highlight w:val="none"/>
                <w:lang w:eastAsia="zh"/>
                <w:woUserID w:val="3"/>
              </w:rPr>
              <w:t>；</w:t>
            </w:r>
          </w:p>
          <w:p w14:paraId="68D23530">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没有此项得0分。</w:t>
            </w:r>
          </w:p>
        </w:tc>
      </w:tr>
      <w:tr w14:paraId="3D70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6AA706C1">
            <w:pPr>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Cs w:val="21"/>
                <w:highlight w:val="none"/>
              </w:rPr>
            </w:pPr>
          </w:p>
        </w:tc>
        <w:tc>
          <w:tcPr>
            <w:tcW w:w="1100" w:type="dxa"/>
            <w:vMerge w:val="continue"/>
            <w:noWrap w:val="0"/>
            <w:vAlign w:val="center"/>
          </w:tcPr>
          <w:p w14:paraId="15E90CE9">
            <w:pPr>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Cs w:val="21"/>
                <w:highlight w:val="none"/>
              </w:rPr>
            </w:pPr>
          </w:p>
        </w:tc>
        <w:tc>
          <w:tcPr>
            <w:tcW w:w="1125" w:type="dxa"/>
            <w:vMerge w:val="continue"/>
            <w:noWrap w:val="0"/>
            <w:vAlign w:val="center"/>
          </w:tcPr>
          <w:p w14:paraId="4CD6A7B1">
            <w:pPr>
              <w:keepNext w:val="0"/>
              <w:keepLines w:val="0"/>
              <w:suppressLineNumbers w:val="0"/>
              <w:spacing w:before="0" w:beforeAutospacing="0" w:after="0" w:afterAutospacing="0"/>
              <w:ind w:left="0" w:leftChars="0" w:right="0" w:firstLine="0" w:firstLineChars="0"/>
              <w:jc w:val="center"/>
              <w:rPr>
                <w:rFonts w:hint="eastAsia" w:ascii="宋体" w:hAnsi="宋体" w:cs="宋体"/>
                <w:color w:val="auto"/>
                <w:szCs w:val="21"/>
                <w:highlight w:val="none"/>
              </w:rPr>
            </w:pPr>
          </w:p>
        </w:tc>
        <w:tc>
          <w:tcPr>
            <w:tcW w:w="1071" w:type="dxa"/>
            <w:shd w:val="clear" w:color="auto" w:fill="auto"/>
            <w:noWrap w:val="0"/>
            <w:vAlign w:val="center"/>
          </w:tcPr>
          <w:p w14:paraId="04D4D5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woUserID w:val="2"/>
              </w:rPr>
            </w:pPr>
            <w:r>
              <w:rPr>
                <w:rFonts w:hint="eastAsia" w:ascii="宋体" w:hAnsi="宋体" w:cs="宋体"/>
                <w:color w:val="auto"/>
                <w:szCs w:val="21"/>
                <w:highlight w:val="none"/>
                <w:lang w:eastAsia="zh"/>
                <w:woUserID w:val="2"/>
              </w:rPr>
              <w:t>现场防护措施</w:t>
            </w:r>
          </w:p>
          <w:p w14:paraId="37460FC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 w:bidi="ar-SA"/>
              </w:rPr>
            </w:pPr>
            <w:r>
              <w:rPr>
                <w:rFonts w:hint="eastAsia" w:ascii="宋体" w:hAnsi="宋体" w:cs="宋体"/>
                <w:color w:val="auto"/>
                <w:szCs w:val="21"/>
                <w:highlight w:val="none"/>
                <w:lang w:eastAsia="zh"/>
                <w:woUserID w:val="2"/>
              </w:rPr>
              <w:t>（2分）</w:t>
            </w:r>
          </w:p>
        </w:tc>
        <w:tc>
          <w:tcPr>
            <w:tcW w:w="4769" w:type="dxa"/>
            <w:shd w:val="clear" w:color="auto" w:fill="auto"/>
            <w:noWrap w:val="0"/>
            <w:vAlign w:val="center"/>
          </w:tcPr>
          <w:p w14:paraId="2C0858B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
                <w:woUserID w:val="1"/>
              </w:rPr>
            </w:pPr>
            <w:r>
              <w:rPr>
                <w:rFonts w:hint="eastAsia" w:ascii="宋体" w:hAnsi="宋体" w:eastAsia="宋体" w:cs="宋体"/>
                <w:color w:val="auto"/>
                <w:kern w:val="2"/>
                <w:sz w:val="21"/>
                <w:szCs w:val="21"/>
                <w:highlight w:val="none"/>
                <w:woUserID w:val="1"/>
              </w:rPr>
              <w:t>人员与主动风险预控，防护设施配置的合理性、完备性及可操作性，现场应急响应机制的建立与演练计划，安全培训体系覆盖范围及执行方案等方面进行综合评审</w:t>
            </w:r>
            <w:r>
              <w:rPr>
                <w:rFonts w:hint="eastAsia" w:ascii="宋体" w:hAnsi="宋体" w:eastAsia="宋体" w:cs="宋体"/>
                <w:color w:val="auto"/>
                <w:kern w:val="2"/>
                <w:sz w:val="21"/>
                <w:szCs w:val="21"/>
                <w:highlight w:val="none"/>
                <w:lang w:eastAsia="zh"/>
                <w:woUserID w:val="1"/>
              </w:rPr>
              <w:t>。</w:t>
            </w:r>
          </w:p>
          <w:p w14:paraId="21BA9209">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CN"/>
                <w:woUserID w:val="2"/>
              </w:rPr>
            </w:pPr>
            <w:r>
              <w:rPr>
                <w:rFonts w:hint="eastAsia" w:ascii="宋体" w:hAnsi="宋体" w:cs="宋体"/>
                <w:color w:val="auto"/>
                <w:szCs w:val="21"/>
                <w:highlight w:val="none"/>
                <w:woUserID w:val="2"/>
              </w:rPr>
              <w:t>优：</w:t>
            </w:r>
            <w:r>
              <w:rPr>
                <w:rFonts w:hint="eastAsia" w:ascii="宋体" w:hAnsi="宋体" w:cs="宋体"/>
                <w:color w:val="auto"/>
                <w:szCs w:val="21"/>
                <w:highlight w:val="none"/>
                <w:lang w:eastAsia="zh-CN"/>
                <w:woUserID w:val="2"/>
              </w:rPr>
              <w:t>现场防护措施合理、完备、切实可行得</w:t>
            </w:r>
            <w:r>
              <w:rPr>
                <w:rFonts w:hint="eastAsia" w:ascii="宋体" w:hAnsi="宋体" w:cs="宋体"/>
                <w:color w:val="auto"/>
                <w:szCs w:val="21"/>
                <w:highlight w:val="none"/>
                <w:lang w:eastAsia="zh"/>
                <w:woUserID w:val="2"/>
              </w:rPr>
              <w:t>2</w:t>
            </w:r>
            <w:r>
              <w:rPr>
                <w:rFonts w:hint="eastAsia" w:ascii="宋体" w:hAnsi="宋体" w:cs="宋体"/>
                <w:color w:val="auto"/>
                <w:spacing w:val="8"/>
                <w:position w:val="1"/>
                <w:szCs w:val="21"/>
                <w:highlight w:val="none"/>
                <w:woUserID w:val="2"/>
              </w:rPr>
              <w:t>分</w:t>
            </w:r>
            <w:r>
              <w:rPr>
                <w:rFonts w:hint="eastAsia" w:ascii="宋体" w:hAnsi="宋体" w:cs="宋体"/>
                <w:color w:val="auto"/>
                <w:spacing w:val="8"/>
                <w:position w:val="1"/>
                <w:szCs w:val="21"/>
                <w:highlight w:val="none"/>
                <w:lang w:eastAsia="zh-CN"/>
                <w:woUserID w:val="2"/>
              </w:rPr>
              <w:t>；</w:t>
            </w:r>
          </w:p>
          <w:p w14:paraId="237FA3FE">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CN"/>
                <w:woUserID w:val="2"/>
              </w:rPr>
            </w:pPr>
            <w:r>
              <w:rPr>
                <w:rFonts w:hint="eastAsia" w:ascii="宋体" w:hAnsi="宋体" w:cs="宋体"/>
                <w:color w:val="auto"/>
                <w:szCs w:val="21"/>
                <w:highlight w:val="none"/>
                <w:woUserID w:val="2"/>
              </w:rPr>
              <w:t>良：</w:t>
            </w:r>
            <w:r>
              <w:rPr>
                <w:rFonts w:hint="eastAsia" w:ascii="宋体" w:hAnsi="宋体" w:cs="宋体"/>
                <w:color w:val="auto"/>
                <w:szCs w:val="21"/>
                <w:highlight w:val="none"/>
                <w:lang w:eastAsia="zh-CN"/>
                <w:woUserID w:val="2"/>
              </w:rPr>
              <w:t>现场防护措施合理、可行得</w:t>
            </w:r>
            <w:r>
              <w:rPr>
                <w:rFonts w:hint="eastAsia" w:ascii="宋体" w:hAnsi="宋体" w:cs="宋体"/>
                <w:color w:val="auto"/>
                <w:szCs w:val="21"/>
                <w:highlight w:val="none"/>
                <w:woUserID w:val="2"/>
              </w:rPr>
              <w:t>1分</w:t>
            </w:r>
            <w:r>
              <w:rPr>
                <w:rFonts w:hint="eastAsia" w:ascii="宋体" w:hAnsi="宋体" w:cs="宋体"/>
                <w:color w:val="auto"/>
                <w:szCs w:val="21"/>
                <w:highlight w:val="none"/>
                <w:lang w:eastAsia="zh-CN"/>
                <w:woUserID w:val="2"/>
              </w:rPr>
              <w:t>；</w:t>
            </w:r>
          </w:p>
          <w:p w14:paraId="739D1596">
            <w:pPr>
              <w:keepNext w:val="0"/>
              <w:keepLines w:val="0"/>
              <w:suppressLineNumbers w:val="0"/>
              <w:spacing w:before="0" w:beforeAutospacing="0" w:after="0" w:afterAutospacing="0"/>
              <w:ind w:left="0" w:right="0"/>
              <w:rPr>
                <w:rFonts w:hint="eastAsia" w:ascii="宋体" w:hAnsi="宋体" w:eastAsia="宋体" w:cs="宋体"/>
                <w:color w:val="auto"/>
                <w:spacing w:val="8"/>
                <w:position w:val="1"/>
                <w:szCs w:val="21"/>
                <w:highlight w:val="none"/>
                <w:lang w:eastAsia="zh-CN"/>
                <w:woUserID w:val="2"/>
              </w:rPr>
            </w:pPr>
            <w:r>
              <w:rPr>
                <w:rFonts w:hint="eastAsia" w:ascii="宋体" w:hAnsi="宋体" w:cs="宋体"/>
                <w:color w:val="auto"/>
                <w:szCs w:val="21"/>
                <w:highlight w:val="none"/>
                <w:woUserID w:val="2"/>
              </w:rPr>
              <w:t>差：</w:t>
            </w:r>
            <w:r>
              <w:rPr>
                <w:rFonts w:hint="eastAsia" w:ascii="宋体" w:hAnsi="宋体" w:cs="宋体"/>
                <w:color w:val="auto"/>
                <w:szCs w:val="21"/>
                <w:highlight w:val="none"/>
                <w:lang w:eastAsia="zh-CN"/>
                <w:woUserID w:val="2"/>
              </w:rPr>
              <w:t>现场防护措施简单得</w:t>
            </w:r>
            <w:r>
              <w:rPr>
                <w:rFonts w:hint="eastAsia" w:ascii="宋体" w:hAnsi="宋体" w:cs="宋体"/>
                <w:color w:val="auto"/>
                <w:szCs w:val="21"/>
                <w:highlight w:val="none"/>
                <w:woUserID w:val="2"/>
              </w:rPr>
              <w:t>0.5分</w:t>
            </w:r>
            <w:r>
              <w:rPr>
                <w:rFonts w:hint="eastAsia" w:ascii="宋体" w:hAnsi="宋体" w:cs="宋体"/>
                <w:color w:val="auto"/>
                <w:szCs w:val="21"/>
                <w:highlight w:val="none"/>
                <w:lang w:eastAsia="zh-CN"/>
                <w:woUserID w:val="2"/>
              </w:rPr>
              <w:t>；</w:t>
            </w:r>
          </w:p>
          <w:p w14:paraId="6CAAD6C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 w:bidi="ar-SA"/>
              </w:rPr>
            </w:pPr>
            <w:r>
              <w:rPr>
                <w:rFonts w:hint="eastAsia" w:ascii="宋体" w:hAnsi="宋体" w:cs="宋体"/>
                <w:color w:val="auto"/>
                <w:szCs w:val="21"/>
                <w:highlight w:val="none"/>
              </w:rPr>
              <w:t>没有此项得0分。</w:t>
            </w:r>
          </w:p>
        </w:tc>
      </w:tr>
      <w:tr w14:paraId="1384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45981F3B">
            <w:pPr>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Cs w:val="21"/>
                <w:highlight w:val="none"/>
              </w:rPr>
            </w:pPr>
          </w:p>
        </w:tc>
        <w:tc>
          <w:tcPr>
            <w:tcW w:w="1100" w:type="dxa"/>
            <w:vMerge w:val="continue"/>
            <w:noWrap w:val="0"/>
            <w:vAlign w:val="center"/>
          </w:tcPr>
          <w:p w14:paraId="0895F8F6">
            <w:pPr>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Cs w:val="21"/>
                <w:highlight w:val="none"/>
              </w:rPr>
            </w:pPr>
          </w:p>
        </w:tc>
        <w:tc>
          <w:tcPr>
            <w:tcW w:w="1125" w:type="dxa"/>
            <w:vMerge w:val="continue"/>
            <w:noWrap w:val="0"/>
            <w:vAlign w:val="center"/>
          </w:tcPr>
          <w:p w14:paraId="048AFD44">
            <w:pPr>
              <w:keepNext w:val="0"/>
              <w:keepLines w:val="0"/>
              <w:suppressLineNumbers w:val="0"/>
              <w:spacing w:before="0" w:beforeAutospacing="0" w:after="0" w:afterAutospacing="0"/>
              <w:ind w:left="0" w:leftChars="0" w:right="0" w:firstLine="0" w:firstLineChars="0"/>
              <w:jc w:val="center"/>
              <w:rPr>
                <w:rFonts w:hint="eastAsia" w:ascii="宋体" w:hAnsi="宋体" w:cs="宋体"/>
                <w:color w:val="auto"/>
                <w:szCs w:val="21"/>
                <w:highlight w:val="none"/>
              </w:rPr>
            </w:pPr>
          </w:p>
        </w:tc>
        <w:tc>
          <w:tcPr>
            <w:tcW w:w="1071" w:type="dxa"/>
            <w:shd w:val="clear" w:color="auto" w:fill="auto"/>
            <w:noWrap w:val="0"/>
            <w:vAlign w:val="center"/>
          </w:tcPr>
          <w:p w14:paraId="68DF453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现场勘察</w:t>
            </w:r>
          </w:p>
          <w:p w14:paraId="75FB241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 w:bidi="ar-SA"/>
              </w:rPr>
            </w:pPr>
            <w:r>
              <w:rPr>
                <w:rFonts w:hint="eastAsia" w:ascii="宋体" w:hAnsi="宋体" w:cs="宋体"/>
                <w:color w:val="auto"/>
                <w:szCs w:val="21"/>
                <w:highlight w:val="none"/>
                <w:lang w:eastAsia="zh"/>
              </w:rPr>
              <w:t>（</w:t>
            </w:r>
            <w:r>
              <w:rPr>
                <w:rFonts w:hint="eastAsia" w:ascii="宋体" w:hAnsi="宋体" w:cs="宋体"/>
                <w:color w:val="auto"/>
                <w:szCs w:val="21"/>
                <w:highlight w:val="none"/>
                <w:lang w:eastAsia="zh"/>
                <w:woUserID w:val="2"/>
              </w:rPr>
              <w:t>2</w:t>
            </w:r>
            <w:r>
              <w:rPr>
                <w:rFonts w:hint="eastAsia" w:ascii="宋体" w:hAnsi="宋体" w:cs="宋体"/>
                <w:color w:val="auto"/>
                <w:szCs w:val="21"/>
                <w:highlight w:val="none"/>
                <w:lang w:eastAsia="zh"/>
              </w:rPr>
              <w:t>分）</w:t>
            </w:r>
          </w:p>
        </w:tc>
        <w:tc>
          <w:tcPr>
            <w:tcW w:w="4769" w:type="dxa"/>
            <w:shd w:val="clear" w:color="auto" w:fill="auto"/>
            <w:noWrap w:val="0"/>
            <w:vAlign w:val="center"/>
          </w:tcPr>
          <w:p w14:paraId="302255B8">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woUserID w:val="1"/>
              </w:rPr>
              <w:t>现场勘查后，对二次配施工的理解与分析</w:t>
            </w:r>
            <w:r>
              <w:rPr>
                <w:rFonts w:hint="eastAsia" w:ascii="宋体" w:hAnsi="宋体" w:eastAsia="宋体" w:cs="宋体"/>
                <w:color w:val="auto"/>
                <w:kern w:val="2"/>
                <w:sz w:val="21"/>
                <w:szCs w:val="21"/>
                <w:highlight w:val="none"/>
                <w:lang w:eastAsia="zh"/>
                <w:woUserID w:val="1"/>
              </w:rPr>
              <w:t>，</w:t>
            </w:r>
            <w:r>
              <w:rPr>
                <w:rFonts w:hint="eastAsia" w:ascii="宋体" w:hAnsi="宋体" w:eastAsia="宋体" w:cs="宋体"/>
                <w:color w:val="auto"/>
                <w:kern w:val="2"/>
                <w:sz w:val="21"/>
                <w:szCs w:val="21"/>
                <w:highlight w:val="none"/>
                <w:woUserID w:val="1"/>
              </w:rPr>
              <w:t>对工艺需求及用途理解。</w:t>
            </w:r>
          </w:p>
          <w:p w14:paraId="65ADF109">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woUserID w:val="1"/>
              </w:rPr>
            </w:pPr>
            <w:r>
              <w:rPr>
                <w:rFonts w:hint="eastAsia" w:ascii="宋体" w:hAnsi="宋体" w:eastAsia="宋体" w:cs="宋体"/>
                <w:color w:val="auto"/>
                <w:kern w:val="2"/>
                <w:sz w:val="21"/>
                <w:szCs w:val="21"/>
                <w:highlight w:val="none"/>
                <w:lang w:val="en-US" w:eastAsia="zh-CN"/>
                <w:woUserID w:val="3"/>
              </w:rPr>
              <w:t>①</w:t>
            </w:r>
            <w:r>
              <w:rPr>
                <w:rFonts w:hint="eastAsia" w:ascii="宋体" w:hAnsi="宋体" w:eastAsia="宋体" w:cs="宋体"/>
                <w:color w:val="auto"/>
                <w:kern w:val="2"/>
                <w:sz w:val="21"/>
                <w:szCs w:val="21"/>
                <w:highlight w:val="none"/>
                <w:lang w:val="en-US" w:eastAsia="zh-CN"/>
                <w:woUserID w:val="1"/>
              </w:rPr>
              <w:t>勘查现场，深入理解，并对微纳加工平台的作用有足够认识</w:t>
            </w:r>
            <w:r>
              <w:rPr>
                <w:rFonts w:hint="eastAsia" w:ascii="宋体" w:hAnsi="宋体" w:eastAsia="宋体" w:cs="宋体"/>
                <w:color w:val="auto"/>
                <w:kern w:val="2"/>
                <w:sz w:val="21"/>
                <w:szCs w:val="21"/>
                <w:highlight w:val="none"/>
                <w:lang w:val="en-US" w:eastAsia="zh"/>
                <w:woUserID w:val="1"/>
              </w:rPr>
              <w:t>，</w:t>
            </w:r>
            <w:r>
              <w:rPr>
                <w:rFonts w:hint="eastAsia" w:ascii="宋体" w:hAnsi="宋体" w:eastAsia="宋体" w:cs="宋体"/>
                <w:color w:val="auto"/>
                <w:kern w:val="2"/>
                <w:sz w:val="21"/>
                <w:szCs w:val="21"/>
                <w:highlight w:val="none"/>
                <w:lang w:val="en-US" w:eastAsia="zh-CN"/>
                <w:woUserID w:val="1"/>
              </w:rPr>
              <w:t>分析</w:t>
            </w:r>
            <w:r>
              <w:rPr>
                <w:rFonts w:hint="eastAsia" w:ascii="宋体" w:hAnsi="宋体" w:eastAsia="宋体" w:cs="宋体"/>
                <w:color w:val="auto"/>
                <w:kern w:val="2"/>
                <w:sz w:val="21"/>
                <w:szCs w:val="21"/>
                <w:highlight w:val="none"/>
                <w:lang w:val="en-US" w:eastAsia="zh"/>
                <w:woUserID w:val="1"/>
              </w:rPr>
              <w:t>3</w:t>
            </w:r>
            <w:r>
              <w:rPr>
                <w:rFonts w:hint="eastAsia" w:ascii="宋体" w:hAnsi="宋体" w:eastAsia="宋体" w:cs="宋体"/>
                <w:color w:val="auto"/>
                <w:kern w:val="2"/>
                <w:sz w:val="21"/>
                <w:szCs w:val="21"/>
                <w:highlight w:val="none"/>
                <w:lang w:val="en-US" w:eastAsia="zh-CN"/>
                <w:woUserID w:val="1"/>
              </w:rPr>
              <w:t>条以上合理建议，得</w:t>
            </w:r>
            <w:r>
              <w:rPr>
                <w:rFonts w:hint="eastAsia" w:ascii="宋体" w:hAnsi="宋体" w:eastAsia="宋体" w:cs="宋体"/>
                <w:color w:val="auto"/>
                <w:kern w:val="2"/>
                <w:sz w:val="21"/>
                <w:szCs w:val="21"/>
                <w:highlight w:val="none"/>
                <w:lang w:val="en-US" w:eastAsia="zh"/>
                <w:woUserID w:val="1"/>
              </w:rPr>
              <w:t>2</w:t>
            </w:r>
            <w:r>
              <w:rPr>
                <w:rFonts w:hint="eastAsia" w:ascii="宋体" w:hAnsi="宋体" w:eastAsia="宋体" w:cs="宋体"/>
                <w:color w:val="auto"/>
                <w:kern w:val="2"/>
                <w:sz w:val="21"/>
                <w:szCs w:val="21"/>
                <w:highlight w:val="none"/>
                <w:lang w:val="en-US" w:eastAsia="zh-CN"/>
                <w:woUserID w:val="1"/>
              </w:rPr>
              <w:t>分</w:t>
            </w:r>
          </w:p>
          <w:p w14:paraId="0D103CB4">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woUserID w:val="1"/>
              </w:rPr>
            </w:pPr>
            <w:r>
              <w:rPr>
                <w:rFonts w:hint="eastAsia" w:ascii="宋体" w:hAnsi="宋体" w:eastAsia="宋体" w:cs="宋体"/>
                <w:color w:val="auto"/>
                <w:kern w:val="2"/>
                <w:sz w:val="21"/>
                <w:szCs w:val="21"/>
                <w:highlight w:val="none"/>
                <w:lang w:val="en-US" w:eastAsia="zh-CN"/>
                <w:woUserID w:val="1"/>
              </w:rPr>
              <w:t>②勘查现场，分析1条合理建议，得</w:t>
            </w:r>
            <w:r>
              <w:rPr>
                <w:rFonts w:hint="eastAsia" w:ascii="宋体" w:hAnsi="宋体" w:eastAsia="宋体" w:cs="宋体"/>
                <w:color w:val="auto"/>
                <w:kern w:val="2"/>
                <w:sz w:val="21"/>
                <w:szCs w:val="21"/>
                <w:highlight w:val="none"/>
                <w:lang w:val="en-US" w:eastAsia="zh"/>
                <w:woUserID w:val="1"/>
              </w:rPr>
              <w:t>1</w:t>
            </w:r>
            <w:r>
              <w:rPr>
                <w:rFonts w:hint="eastAsia" w:ascii="宋体" w:hAnsi="宋体" w:eastAsia="宋体" w:cs="宋体"/>
                <w:color w:val="auto"/>
                <w:kern w:val="2"/>
                <w:sz w:val="21"/>
                <w:szCs w:val="21"/>
                <w:highlight w:val="none"/>
                <w:lang w:val="en-US" w:eastAsia="zh-CN"/>
                <w:woUserID w:val="1"/>
              </w:rPr>
              <w:t>分。</w:t>
            </w:r>
          </w:p>
          <w:p w14:paraId="5E8EE569">
            <w:pPr>
              <w:keepNext w:val="0"/>
              <w:keepLines w:val="0"/>
              <w:widowControl/>
              <w:suppressLineNumbers w:val="0"/>
              <w:spacing w:before="0" w:beforeAutospacing="0" w:after="0" w:afterAutospacing="0"/>
              <w:ind w:left="0" w:right="0"/>
              <w:jc w:val="left"/>
              <w:rPr>
                <w:rFonts w:hint="default"/>
                <w:color w:val="auto"/>
                <w:highlight w:val="none"/>
                <w:woUserID w:val="3"/>
              </w:rPr>
            </w:pPr>
            <w:r>
              <w:rPr>
                <w:rFonts w:hint="eastAsia" w:ascii="宋体" w:hAnsi="宋体" w:eastAsia="宋体" w:cs="宋体"/>
                <w:color w:val="auto"/>
                <w:kern w:val="2"/>
                <w:sz w:val="21"/>
                <w:szCs w:val="21"/>
                <w:highlight w:val="none"/>
                <w:lang w:val="en-US" w:eastAsia="zh-CN"/>
                <w:woUserID w:val="3"/>
              </w:rPr>
              <w:t>③勘查现场</w:t>
            </w:r>
            <w:r>
              <w:rPr>
                <w:rFonts w:hint="eastAsia" w:ascii="宋体" w:hAnsi="宋体" w:eastAsia="宋体" w:cs="宋体"/>
                <w:color w:val="auto"/>
                <w:kern w:val="2"/>
                <w:sz w:val="21"/>
                <w:szCs w:val="21"/>
                <w:highlight w:val="none"/>
                <w:lang w:val="en-US" w:eastAsia="zh"/>
                <w:woUserID w:val="3"/>
              </w:rPr>
              <w:t>，分析建议</w:t>
            </w:r>
            <w:r>
              <w:rPr>
                <w:rFonts w:hint="eastAsia" w:ascii="宋体" w:hAnsi="宋体" w:eastAsia="宋体" w:cs="宋体"/>
                <w:color w:val="auto"/>
                <w:kern w:val="2"/>
                <w:sz w:val="21"/>
                <w:szCs w:val="21"/>
                <w:highlight w:val="none"/>
                <w:lang w:val="en-US" w:eastAsia="zh-CN" w:bidi="ar"/>
                <w:woUserID w:val="3"/>
              </w:rPr>
              <w:t>内容</w:t>
            </w:r>
            <w:r>
              <w:rPr>
                <w:rFonts w:hint="eastAsia" w:ascii="宋体" w:hAnsi="宋体" w:eastAsia="宋体" w:cs="宋体"/>
                <w:color w:val="auto"/>
                <w:kern w:val="0"/>
                <w:sz w:val="21"/>
                <w:szCs w:val="21"/>
                <w:highlight w:val="none"/>
                <w:lang w:val="en-US" w:eastAsia="zh-CN" w:bidi="ar"/>
                <w:woUserID w:val="3"/>
              </w:rPr>
              <w:t>笼统简单</w:t>
            </w:r>
            <w:r>
              <w:rPr>
                <w:rFonts w:hint="eastAsia" w:ascii="宋体" w:hAnsi="宋体" w:eastAsia="宋体" w:cs="宋体"/>
                <w:color w:val="auto"/>
                <w:kern w:val="0"/>
                <w:sz w:val="21"/>
                <w:szCs w:val="21"/>
                <w:highlight w:val="none"/>
                <w:lang w:val="en-US" w:eastAsia="zh" w:bidi="ar"/>
                <w:woUserID w:val="3"/>
              </w:rPr>
              <w:t>，</w:t>
            </w:r>
            <w:r>
              <w:rPr>
                <w:rFonts w:hint="eastAsia" w:ascii="宋体" w:hAnsi="宋体" w:eastAsia="宋体" w:cs="宋体"/>
                <w:color w:val="auto"/>
                <w:kern w:val="2"/>
                <w:sz w:val="21"/>
                <w:szCs w:val="21"/>
                <w:highlight w:val="none"/>
                <w:lang w:val="en-US" w:eastAsia="zh-CN" w:bidi="ar"/>
                <w:woUserID w:val="3"/>
              </w:rPr>
              <w:t>针对性较差</w:t>
            </w:r>
          </w:p>
          <w:p w14:paraId="1634E3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
                <w:woUserID w:val="3"/>
              </w:rPr>
            </w:pPr>
            <w:r>
              <w:rPr>
                <w:rFonts w:hint="eastAsia" w:ascii="宋体" w:hAnsi="宋体" w:eastAsia="宋体" w:cs="宋体"/>
                <w:color w:val="auto"/>
                <w:kern w:val="2"/>
                <w:sz w:val="21"/>
                <w:szCs w:val="21"/>
                <w:highlight w:val="none"/>
                <w:lang w:val="en-US" w:eastAsia="zh"/>
                <w:woUserID w:val="3"/>
              </w:rPr>
              <w:t>得0.5分</w:t>
            </w:r>
          </w:p>
          <w:p w14:paraId="4E485A54">
            <w:pPr>
              <w:keepNext w:val="0"/>
              <w:keepLines w:val="0"/>
              <w:suppressLineNumbers w:val="0"/>
              <w:spacing w:before="0" w:beforeAutospacing="0" w:after="0" w:afterAutospacing="0"/>
              <w:ind w:left="0" w:right="0"/>
              <w:rPr>
                <w:rFonts w:hint="eastAsia"/>
                <w:color w:val="auto"/>
                <w:highlight w:val="none"/>
                <w:lang w:val="en-US" w:eastAsia="zh"/>
              </w:rPr>
            </w:pPr>
            <w:r>
              <w:rPr>
                <w:rFonts w:hint="eastAsia" w:ascii="宋体" w:hAnsi="宋体" w:eastAsia="宋体" w:cs="宋体"/>
                <w:color w:val="auto"/>
                <w:kern w:val="2"/>
                <w:sz w:val="21"/>
                <w:szCs w:val="21"/>
                <w:highlight w:val="none"/>
                <w:lang w:val="en-US" w:eastAsia="zh-CN"/>
                <w:woUserID w:val="1"/>
              </w:rPr>
              <w:t>未勘察现场或无分析，得</w:t>
            </w:r>
            <w:r>
              <w:rPr>
                <w:rFonts w:hint="eastAsia" w:ascii="宋体" w:hAnsi="宋体" w:eastAsia="宋体" w:cs="宋体"/>
                <w:color w:val="auto"/>
                <w:kern w:val="2"/>
                <w:sz w:val="21"/>
                <w:szCs w:val="21"/>
                <w:highlight w:val="none"/>
                <w:lang w:val="en-US" w:eastAsia="zh"/>
                <w:woUserID w:val="3"/>
              </w:rPr>
              <w:t>0</w:t>
            </w:r>
            <w:r>
              <w:rPr>
                <w:rFonts w:hint="eastAsia" w:ascii="宋体" w:hAnsi="宋体" w:eastAsia="宋体" w:cs="宋体"/>
                <w:color w:val="auto"/>
                <w:kern w:val="2"/>
                <w:sz w:val="21"/>
                <w:szCs w:val="21"/>
                <w:highlight w:val="none"/>
                <w:lang w:val="en-US" w:eastAsia="zh-CN"/>
                <w:woUserID w:val="1"/>
              </w:rPr>
              <w:t>分。</w:t>
            </w:r>
          </w:p>
        </w:tc>
      </w:tr>
      <w:tr w14:paraId="03AD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40E0B6B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5FF15BF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0DB28F1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71" w:type="dxa"/>
            <w:noWrap w:val="0"/>
            <w:vAlign w:val="center"/>
          </w:tcPr>
          <w:p w14:paraId="51E52CF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安全生产的技术措施</w:t>
            </w:r>
          </w:p>
          <w:p w14:paraId="6B343C4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
                <w:woUserID w:val="3"/>
              </w:rPr>
              <w:t>2</w:t>
            </w:r>
            <w:r>
              <w:rPr>
                <w:rFonts w:hint="eastAsia" w:ascii="宋体" w:hAnsi="宋体" w:cs="宋体"/>
                <w:color w:val="auto"/>
                <w:szCs w:val="21"/>
                <w:highlight w:val="none"/>
              </w:rPr>
              <w:t>分）</w:t>
            </w:r>
          </w:p>
        </w:tc>
        <w:tc>
          <w:tcPr>
            <w:tcW w:w="4769" w:type="dxa"/>
            <w:noWrap w:val="0"/>
            <w:vAlign w:val="center"/>
          </w:tcPr>
          <w:p w14:paraId="68EBB974">
            <w:pPr>
              <w:keepNext w:val="0"/>
              <w:keepLines w:val="0"/>
              <w:numPr>
                <w:ilvl w:val="0"/>
                <w:numId w:val="3"/>
              </w:numPr>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确保安全生产的技术组织措施科学可行、合理有效得</w:t>
            </w:r>
            <w:r>
              <w:rPr>
                <w:rFonts w:hint="eastAsia" w:ascii="宋体" w:hAnsi="宋体" w:cs="宋体"/>
                <w:color w:val="auto"/>
                <w:szCs w:val="21"/>
                <w:highlight w:val="none"/>
                <w:lang w:eastAsia="zh"/>
                <w:woUserID w:val="3"/>
              </w:rPr>
              <w:t>2</w:t>
            </w:r>
            <w:r>
              <w:rPr>
                <w:rFonts w:hint="eastAsia" w:ascii="宋体" w:hAnsi="宋体" w:cs="宋体"/>
                <w:color w:val="auto"/>
                <w:szCs w:val="21"/>
                <w:highlight w:val="none"/>
              </w:rPr>
              <w:t>分；</w:t>
            </w:r>
          </w:p>
          <w:p w14:paraId="6F8B6FDD">
            <w:pPr>
              <w:keepNext w:val="0"/>
              <w:keepLines w:val="0"/>
              <w:numPr>
                <w:ilvl w:val="0"/>
                <w:numId w:val="3"/>
              </w:numPr>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安全生产的技术组织</w:t>
            </w:r>
            <w:r>
              <w:rPr>
                <w:rFonts w:hint="eastAsia" w:ascii="宋体" w:hAnsi="宋体" w:cs="宋体"/>
                <w:color w:val="auto"/>
                <w:szCs w:val="21"/>
                <w:highlight w:val="none"/>
                <w:lang w:eastAsia="zh"/>
                <w:woUserID w:val="3"/>
              </w:rPr>
              <w:t>措施</w:t>
            </w:r>
            <w:r>
              <w:rPr>
                <w:rFonts w:hint="eastAsia" w:ascii="宋体" w:hAnsi="宋体" w:cs="宋体"/>
                <w:color w:val="auto"/>
                <w:szCs w:val="21"/>
                <w:highlight w:val="none"/>
              </w:rPr>
              <w:t>较可行合理得</w:t>
            </w:r>
            <w:r>
              <w:rPr>
                <w:rFonts w:hint="eastAsia" w:ascii="宋体" w:hAnsi="宋体" w:cs="宋体"/>
                <w:color w:val="auto"/>
                <w:szCs w:val="21"/>
                <w:highlight w:val="none"/>
                <w:lang w:eastAsia="zh"/>
                <w:woUserID w:val="2"/>
              </w:rPr>
              <w:t>1</w:t>
            </w:r>
            <w:r>
              <w:rPr>
                <w:rFonts w:hint="eastAsia" w:ascii="宋体" w:hAnsi="宋体" w:cs="宋体"/>
                <w:color w:val="auto"/>
                <w:szCs w:val="21"/>
                <w:highlight w:val="none"/>
              </w:rPr>
              <w:t>分</w:t>
            </w:r>
            <w:r>
              <w:rPr>
                <w:rFonts w:hint="eastAsia" w:ascii="宋体" w:hAnsi="宋体" w:cs="宋体"/>
                <w:color w:val="auto"/>
                <w:szCs w:val="21"/>
                <w:highlight w:val="none"/>
                <w:lang w:eastAsia="zh"/>
                <w:woUserID w:val="3"/>
              </w:rPr>
              <w:t>；</w:t>
            </w:r>
          </w:p>
          <w:p w14:paraId="29F1FFBA">
            <w:pPr>
              <w:keepNext w:val="0"/>
              <w:keepLines w:val="0"/>
              <w:numPr>
                <w:ilvl w:val="0"/>
                <w:numId w:val="3"/>
              </w:numPr>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woUserID w:val="3"/>
              </w:rPr>
              <w:t>安全生产的技术组织</w:t>
            </w:r>
            <w:r>
              <w:rPr>
                <w:rFonts w:hint="eastAsia" w:ascii="宋体" w:hAnsi="宋体" w:cs="宋体"/>
                <w:color w:val="auto"/>
                <w:szCs w:val="21"/>
                <w:highlight w:val="none"/>
                <w:lang w:eastAsia="zh"/>
                <w:woUserID w:val="3"/>
              </w:rPr>
              <w:t>措施</w:t>
            </w:r>
            <w:r>
              <w:rPr>
                <w:rFonts w:hint="eastAsia" w:ascii="宋体" w:hAnsi="宋体" w:eastAsia="宋体" w:cs="宋体"/>
                <w:color w:val="auto"/>
                <w:kern w:val="2"/>
                <w:sz w:val="21"/>
                <w:szCs w:val="21"/>
                <w:highlight w:val="none"/>
                <w:woUserID w:val="3"/>
              </w:rPr>
              <w:t>内容</w:t>
            </w:r>
            <w:r>
              <w:rPr>
                <w:rFonts w:hint="eastAsia" w:ascii="宋体" w:hAnsi="宋体" w:eastAsia="宋体" w:cs="宋体"/>
                <w:color w:val="auto"/>
                <w:kern w:val="0"/>
                <w:sz w:val="21"/>
                <w:szCs w:val="21"/>
                <w:highlight w:val="none"/>
                <w:woUserID w:val="3"/>
              </w:rPr>
              <w:t>笼统简单</w:t>
            </w:r>
            <w:r>
              <w:rPr>
                <w:rFonts w:hint="eastAsia" w:ascii="宋体" w:hAnsi="宋体" w:eastAsia="宋体" w:cs="宋体"/>
                <w:color w:val="auto"/>
                <w:kern w:val="2"/>
                <w:sz w:val="21"/>
                <w:szCs w:val="21"/>
                <w:highlight w:val="none"/>
                <w:woUserID w:val="3"/>
              </w:rPr>
              <w:t>，针对性较差</w:t>
            </w:r>
            <w:r>
              <w:rPr>
                <w:rFonts w:hint="eastAsia" w:ascii="宋体" w:hAnsi="宋体" w:cs="宋体"/>
                <w:color w:val="auto"/>
                <w:szCs w:val="21"/>
                <w:highlight w:val="none"/>
                <w:woUserID w:val="3"/>
              </w:rPr>
              <w:t>得</w:t>
            </w:r>
            <w:r>
              <w:rPr>
                <w:rFonts w:hint="eastAsia" w:ascii="宋体" w:hAnsi="宋体" w:cs="宋体"/>
                <w:color w:val="auto"/>
                <w:szCs w:val="21"/>
                <w:highlight w:val="none"/>
                <w:lang w:eastAsia="zh"/>
                <w:woUserID w:val="3"/>
              </w:rPr>
              <w:t>0.5分</w:t>
            </w:r>
            <w:r>
              <w:rPr>
                <w:rFonts w:hint="eastAsia" w:ascii="宋体" w:hAnsi="宋体" w:cs="宋体"/>
                <w:color w:val="auto"/>
                <w:szCs w:val="21"/>
                <w:highlight w:val="none"/>
              </w:rPr>
              <w:t>；</w:t>
            </w:r>
          </w:p>
          <w:p w14:paraId="78A3DD6C">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没有此项得0分。</w:t>
            </w:r>
          </w:p>
        </w:tc>
      </w:tr>
      <w:tr w14:paraId="4498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01E03E8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19823B2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3236C935">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74BA74C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文明施工、环境保护管理体系及施工现场扬尘治理措施</w:t>
            </w:r>
          </w:p>
          <w:p w14:paraId="5EF78C3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（2分）</w:t>
            </w:r>
          </w:p>
        </w:tc>
        <w:tc>
          <w:tcPr>
            <w:tcW w:w="4769" w:type="dxa"/>
            <w:noWrap w:val="0"/>
            <w:vAlign w:val="center"/>
          </w:tcPr>
          <w:p w14:paraId="4BC2FD02">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最新的规定，防治方案科学、先进得2分；</w:t>
            </w:r>
          </w:p>
          <w:p w14:paraId="407D9887">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2）有较为科学可行的创建措施和安全文明措施费用投入使用计划，现场施工区、生活区、办公区等设置较为符合有关文明施工、健康卫生的规定。施工现场扬尘治理措施达到河南省《城市房屋建筑和市政基础设施工程及道路扬尘污染防治标准》最新的规定，有较为可行的防治方案得1分</w:t>
            </w:r>
          </w:p>
          <w:p w14:paraId="484CE247">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woUserID w:val="3"/>
              </w:rPr>
              <w:t>（3）文明施工、环境保护管理体系及施工现场扬尘治理措施</w:t>
            </w:r>
            <w:r>
              <w:rPr>
                <w:rFonts w:hint="eastAsia" w:ascii="宋体" w:hAnsi="宋体" w:eastAsia="宋体" w:cs="宋体"/>
                <w:color w:val="auto"/>
                <w:kern w:val="2"/>
                <w:sz w:val="21"/>
                <w:szCs w:val="21"/>
                <w:highlight w:val="none"/>
                <w:woUserID w:val="3"/>
              </w:rPr>
              <w:t>内容</w:t>
            </w:r>
            <w:r>
              <w:rPr>
                <w:rFonts w:hint="eastAsia" w:ascii="宋体" w:hAnsi="宋体" w:eastAsia="宋体" w:cs="宋体"/>
                <w:color w:val="auto"/>
                <w:kern w:val="0"/>
                <w:sz w:val="21"/>
                <w:szCs w:val="21"/>
                <w:highlight w:val="none"/>
                <w:woUserID w:val="3"/>
              </w:rPr>
              <w:t>笼统简单</w:t>
            </w:r>
            <w:r>
              <w:rPr>
                <w:rFonts w:hint="eastAsia" w:ascii="宋体" w:hAnsi="宋体" w:eastAsia="宋体" w:cs="宋体"/>
                <w:bCs/>
                <w:color w:val="auto"/>
                <w:kern w:val="2"/>
                <w:sz w:val="21"/>
                <w:szCs w:val="21"/>
                <w:highlight w:val="none"/>
                <w:woUserID w:val="3"/>
              </w:rPr>
              <w:t>、</w:t>
            </w:r>
            <w:r>
              <w:rPr>
                <w:rFonts w:hint="eastAsia" w:ascii="宋体" w:hAnsi="宋体" w:eastAsia="宋体" w:cs="宋体"/>
                <w:color w:val="auto"/>
                <w:kern w:val="2"/>
                <w:sz w:val="21"/>
                <w:szCs w:val="21"/>
                <w:highlight w:val="none"/>
                <w:woUserID w:val="3"/>
              </w:rPr>
              <w:t>内容有所缺失，针对性较差</w:t>
            </w:r>
            <w:r>
              <w:rPr>
                <w:rFonts w:hint="eastAsia" w:ascii="宋体" w:hAnsi="宋体" w:eastAsia="宋体" w:cs="宋体"/>
                <w:color w:val="auto"/>
                <w:kern w:val="2"/>
                <w:sz w:val="21"/>
                <w:szCs w:val="21"/>
                <w:highlight w:val="none"/>
                <w:lang w:eastAsia="zh"/>
                <w:woUserID w:val="3"/>
              </w:rPr>
              <w:t>得0.5分</w:t>
            </w:r>
            <w:r>
              <w:rPr>
                <w:rFonts w:hint="eastAsia" w:ascii="宋体" w:hAnsi="宋体" w:cs="宋体"/>
                <w:color w:val="auto"/>
                <w:szCs w:val="21"/>
                <w:highlight w:val="none"/>
              </w:rPr>
              <w:t>；</w:t>
            </w:r>
          </w:p>
          <w:p w14:paraId="73D1B28E">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没有此项得0分。</w:t>
            </w:r>
          </w:p>
        </w:tc>
      </w:tr>
      <w:tr w14:paraId="42D9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4C5F47E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4E20E6C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29D7DC77">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3262085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拟投入资源配备计划</w:t>
            </w:r>
          </w:p>
          <w:p w14:paraId="144DA17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
                <w:woUserID w:val="2"/>
              </w:rPr>
              <w:t>3</w:t>
            </w:r>
            <w:r>
              <w:rPr>
                <w:rFonts w:hint="eastAsia" w:ascii="宋体" w:hAnsi="宋体" w:cs="宋体"/>
                <w:color w:val="auto"/>
                <w:szCs w:val="21"/>
                <w:highlight w:val="none"/>
              </w:rPr>
              <w:t>分）</w:t>
            </w:r>
          </w:p>
        </w:tc>
        <w:tc>
          <w:tcPr>
            <w:tcW w:w="4769" w:type="dxa"/>
            <w:noWrap w:val="0"/>
            <w:vAlign w:val="center"/>
          </w:tcPr>
          <w:p w14:paraId="3F7EFDDF">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①机械：投入计划与进度计划呼应，采用先进机械设备且配置合理、先进，满足安全技术规范和施工进度需要；PC构件运输、安装设备满足施工要求；②劳动力：投入计划与进度计划呼应，较好满足施工需要，调配投入计划合理、准确；③主要物资计划：主要物资（含PC构件的供应需求）投入计划与进度计划呼应，较好满足施工需要，调配投入计划合理、准确得</w:t>
            </w:r>
            <w:r>
              <w:rPr>
                <w:rFonts w:hint="eastAsia" w:ascii="宋体" w:hAnsi="宋体" w:cs="宋体"/>
                <w:color w:val="auto"/>
                <w:szCs w:val="21"/>
                <w:highlight w:val="none"/>
                <w:lang w:eastAsia="zh"/>
                <w:woUserID w:val="2"/>
              </w:rPr>
              <w:t>3</w:t>
            </w:r>
            <w:r>
              <w:rPr>
                <w:rFonts w:hint="eastAsia" w:ascii="宋体" w:hAnsi="宋体" w:cs="宋体"/>
                <w:color w:val="auto"/>
                <w:szCs w:val="21"/>
                <w:highlight w:val="none"/>
              </w:rPr>
              <w:t>分；</w:t>
            </w:r>
          </w:p>
          <w:p w14:paraId="69FD8870">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2）①机械：投入计划与进度计划呼应，机械设备配置基本合理，满足安全技术规范和施工进度需要；②劳动力：投入计划与进度计划呼应，基本满足施工需要，调配投入计划基本合理；③主要物资计划：主要物资（含PC构件的供应需求）投入计划与进度计划呼应，基本满足施工需要，调配投入计划基本合理得</w:t>
            </w:r>
            <w:r>
              <w:rPr>
                <w:rFonts w:hint="eastAsia" w:ascii="宋体" w:hAnsi="宋体" w:cs="宋体"/>
                <w:color w:val="auto"/>
                <w:szCs w:val="21"/>
                <w:highlight w:val="none"/>
                <w:lang w:eastAsia="zh"/>
                <w:woUserID w:val="3"/>
              </w:rPr>
              <w:t>2</w:t>
            </w:r>
            <w:r>
              <w:rPr>
                <w:rFonts w:hint="eastAsia" w:ascii="宋体" w:hAnsi="宋体" w:cs="宋体"/>
                <w:color w:val="auto"/>
                <w:szCs w:val="21"/>
                <w:highlight w:val="none"/>
              </w:rPr>
              <w:t>分</w:t>
            </w:r>
          </w:p>
          <w:p w14:paraId="305E7B33">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lang w:eastAsia="zh"/>
                <w:woUserID w:val="3"/>
              </w:rPr>
              <w:t>（3）</w:t>
            </w:r>
            <w:r>
              <w:rPr>
                <w:rFonts w:hint="eastAsia" w:ascii="宋体" w:hAnsi="宋体" w:cs="宋体"/>
                <w:color w:val="auto"/>
                <w:szCs w:val="21"/>
                <w:highlight w:val="none"/>
                <w:woUserID w:val="3"/>
              </w:rPr>
              <w:t>拟投入资源配备计划</w:t>
            </w:r>
            <w:r>
              <w:rPr>
                <w:rFonts w:hint="eastAsia" w:ascii="宋体" w:hAnsi="宋体" w:eastAsia="宋体" w:cs="宋体"/>
                <w:color w:val="auto"/>
                <w:kern w:val="2"/>
                <w:sz w:val="21"/>
                <w:szCs w:val="21"/>
                <w:highlight w:val="none"/>
                <w:woUserID w:val="3"/>
              </w:rPr>
              <w:t>内容</w:t>
            </w:r>
            <w:r>
              <w:rPr>
                <w:rFonts w:hint="eastAsia" w:ascii="宋体" w:hAnsi="宋体" w:eastAsia="宋体" w:cs="宋体"/>
                <w:color w:val="auto"/>
                <w:kern w:val="0"/>
                <w:sz w:val="21"/>
                <w:szCs w:val="21"/>
                <w:highlight w:val="none"/>
                <w:woUserID w:val="3"/>
              </w:rPr>
              <w:t>笼统简单</w:t>
            </w:r>
            <w:r>
              <w:rPr>
                <w:rFonts w:hint="eastAsia" w:ascii="宋体" w:hAnsi="宋体" w:eastAsia="宋体" w:cs="宋体"/>
                <w:bCs/>
                <w:color w:val="auto"/>
                <w:kern w:val="2"/>
                <w:sz w:val="21"/>
                <w:szCs w:val="21"/>
                <w:highlight w:val="none"/>
                <w:woUserID w:val="3"/>
              </w:rPr>
              <w:t>、</w:t>
            </w:r>
            <w:r>
              <w:rPr>
                <w:rFonts w:hint="eastAsia" w:ascii="宋体" w:hAnsi="宋体" w:eastAsia="宋体" w:cs="宋体"/>
                <w:color w:val="auto"/>
                <w:kern w:val="2"/>
                <w:sz w:val="21"/>
                <w:szCs w:val="21"/>
                <w:highlight w:val="none"/>
                <w:woUserID w:val="3"/>
              </w:rPr>
              <w:t>内容有所缺失，针对性较差</w:t>
            </w:r>
            <w:r>
              <w:rPr>
                <w:rFonts w:hint="eastAsia" w:ascii="宋体" w:hAnsi="宋体" w:eastAsia="宋体" w:cs="宋体"/>
                <w:color w:val="auto"/>
                <w:kern w:val="2"/>
                <w:sz w:val="21"/>
                <w:szCs w:val="21"/>
                <w:highlight w:val="none"/>
                <w:lang w:eastAsia="zh"/>
                <w:woUserID w:val="3"/>
              </w:rPr>
              <w:t>得1分</w:t>
            </w:r>
            <w:r>
              <w:rPr>
                <w:rFonts w:hint="eastAsia" w:ascii="宋体" w:hAnsi="宋体" w:cs="宋体"/>
                <w:color w:val="auto"/>
                <w:szCs w:val="21"/>
                <w:highlight w:val="none"/>
              </w:rPr>
              <w:t>；</w:t>
            </w:r>
          </w:p>
          <w:p w14:paraId="0F8510AB">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没有此项得0分。</w:t>
            </w:r>
          </w:p>
        </w:tc>
      </w:tr>
      <w:tr w14:paraId="65B0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7A01AE5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7E07424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4DFB2D4D">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1C3F8F4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技术创新的应用实施措施</w:t>
            </w:r>
          </w:p>
          <w:p w14:paraId="5DE59A6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（2分）</w:t>
            </w:r>
          </w:p>
        </w:tc>
        <w:tc>
          <w:tcPr>
            <w:tcW w:w="4769" w:type="dxa"/>
            <w:noWrap w:val="0"/>
            <w:vAlign w:val="center"/>
          </w:tcPr>
          <w:p w14:paraId="07DB8C35">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（1）节能减排、绿色施工、工艺创新等技术创新的应用实施措施符合工程情况，具有针对性、可行性、经济适用性得2分；</w:t>
            </w:r>
          </w:p>
          <w:p w14:paraId="43A073BF">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（2）节能减排、绿色施工、工艺创新等技术创新的应用实施措施基本符合工程情况，具有针对性得1分；</w:t>
            </w:r>
          </w:p>
          <w:p w14:paraId="598AE0F9">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
                <w:woUserID w:val="3"/>
              </w:rPr>
            </w:pPr>
            <w:r>
              <w:rPr>
                <w:rFonts w:hint="eastAsia" w:ascii="宋体" w:hAnsi="宋体" w:cs="宋体"/>
                <w:color w:val="auto"/>
                <w:szCs w:val="21"/>
                <w:highlight w:val="none"/>
                <w:lang w:eastAsia="zh"/>
                <w:woUserID w:val="3"/>
              </w:rPr>
              <w:t>（3）</w:t>
            </w:r>
            <w:r>
              <w:rPr>
                <w:rFonts w:hint="eastAsia" w:ascii="宋体" w:hAnsi="宋体" w:cs="宋体"/>
                <w:color w:val="auto"/>
                <w:szCs w:val="21"/>
                <w:highlight w:val="none"/>
                <w:woUserID w:val="3"/>
              </w:rPr>
              <w:t>节能减排、绿色施工、工艺创新等技术创新的应用实施措施</w:t>
            </w:r>
            <w:r>
              <w:rPr>
                <w:rFonts w:hint="eastAsia" w:ascii="宋体" w:hAnsi="宋体" w:eastAsia="宋体" w:cs="宋体"/>
                <w:color w:val="auto"/>
                <w:kern w:val="2"/>
                <w:sz w:val="21"/>
                <w:szCs w:val="21"/>
                <w:highlight w:val="none"/>
                <w:woUserID w:val="3"/>
              </w:rPr>
              <w:t>内容</w:t>
            </w:r>
            <w:r>
              <w:rPr>
                <w:rFonts w:hint="eastAsia" w:ascii="宋体" w:hAnsi="宋体" w:eastAsia="宋体" w:cs="宋体"/>
                <w:color w:val="auto"/>
                <w:kern w:val="0"/>
                <w:sz w:val="21"/>
                <w:szCs w:val="21"/>
                <w:highlight w:val="none"/>
                <w:woUserID w:val="3"/>
              </w:rPr>
              <w:t>笼统简单</w:t>
            </w:r>
            <w:r>
              <w:rPr>
                <w:rFonts w:hint="eastAsia" w:ascii="宋体" w:hAnsi="宋体" w:eastAsia="宋体" w:cs="宋体"/>
                <w:bCs/>
                <w:color w:val="auto"/>
                <w:kern w:val="2"/>
                <w:sz w:val="21"/>
                <w:szCs w:val="21"/>
                <w:highlight w:val="none"/>
                <w:woUserID w:val="3"/>
              </w:rPr>
              <w:t>、</w:t>
            </w:r>
            <w:r>
              <w:rPr>
                <w:rFonts w:hint="eastAsia" w:ascii="宋体" w:hAnsi="宋体" w:eastAsia="宋体" w:cs="宋体"/>
                <w:color w:val="auto"/>
                <w:kern w:val="2"/>
                <w:sz w:val="21"/>
                <w:szCs w:val="21"/>
                <w:highlight w:val="none"/>
                <w:woUserID w:val="3"/>
              </w:rPr>
              <w:t>内容有所缺失，针对性较差</w:t>
            </w:r>
            <w:r>
              <w:rPr>
                <w:rFonts w:hint="eastAsia" w:ascii="宋体" w:hAnsi="宋体" w:eastAsia="宋体" w:cs="宋体"/>
                <w:color w:val="auto"/>
                <w:kern w:val="2"/>
                <w:sz w:val="21"/>
                <w:szCs w:val="21"/>
                <w:highlight w:val="none"/>
                <w:lang w:eastAsia="zh"/>
                <w:woUserID w:val="3"/>
              </w:rPr>
              <w:t>得0.5分</w:t>
            </w:r>
          </w:p>
          <w:p w14:paraId="075186D1">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没有此项得0分。</w:t>
            </w:r>
          </w:p>
        </w:tc>
      </w:tr>
      <w:tr w14:paraId="4C8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43D0D57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2A6D9BB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7D801035">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p>
        </w:tc>
        <w:tc>
          <w:tcPr>
            <w:tcW w:w="1071" w:type="dxa"/>
            <w:noWrap w:val="0"/>
            <w:vAlign w:val="center"/>
          </w:tcPr>
          <w:p w14:paraId="1ADEE48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采用新工艺、新技术、新设备、新材料、BIM等的程度</w:t>
            </w:r>
          </w:p>
          <w:p w14:paraId="6D657DF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（1分）</w:t>
            </w:r>
          </w:p>
        </w:tc>
        <w:tc>
          <w:tcPr>
            <w:tcW w:w="4769" w:type="dxa"/>
            <w:noWrap w:val="0"/>
            <w:vAlign w:val="center"/>
          </w:tcPr>
          <w:p w14:paraId="722D25D3">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（1）采用新工艺、新技术、新设备、新材料、BIM等的程度满足设计要求，符合施工需要和相应技术标准等规定，经济适用得1分；</w:t>
            </w:r>
          </w:p>
          <w:p w14:paraId="3FA3B75E">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（2）采用新工艺、新技术、新设备、新材料、BIM等的程度满足设计要求，基本符合施工要求和相应技术标准等规定得0.5分</w:t>
            </w:r>
          </w:p>
          <w:p w14:paraId="743416D8">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没有此项得0分。</w:t>
            </w:r>
          </w:p>
        </w:tc>
      </w:tr>
      <w:tr w14:paraId="41AD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6325B9D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47EAB64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2E055E33">
            <w:pPr>
              <w:pStyle w:val="50"/>
              <w:keepNext w:val="0"/>
              <w:keepLines w:val="0"/>
              <w:suppressLineNumbers w:val="0"/>
              <w:spacing w:before="0" w:beforeAutospacing="0" w:after="0" w:afterAutospacing="0"/>
              <w:ind w:left="0" w:right="0"/>
              <w:jc w:val="center"/>
              <w:rPr>
                <w:rFonts w:hint="default" w:hAnsi="宋体"/>
                <w:color w:val="auto"/>
                <w:kern w:val="2"/>
                <w:sz w:val="21"/>
                <w:szCs w:val="21"/>
                <w:highlight w:val="none"/>
              </w:rPr>
            </w:pPr>
          </w:p>
        </w:tc>
        <w:tc>
          <w:tcPr>
            <w:tcW w:w="1071" w:type="dxa"/>
            <w:noWrap w:val="0"/>
            <w:vAlign w:val="center"/>
          </w:tcPr>
          <w:p w14:paraId="4B8FB4B3">
            <w:pPr>
              <w:keepNext w:val="0"/>
              <w:keepLines w:val="0"/>
              <w:suppressLineNumbers w:val="0"/>
              <w:spacing w:before="0" w:beforeAutospacing="0" w:after="0" w:afterAutospacing="0"/>
              <w:ind w:left="0" w:right="0"/>
              <w:jc w:val="center"/>
              <w:rPr>
                <w:rFonts w:hint="eastAsia" w:ascii="宋体" w:hAnsi="宋体" w:cs="宋体"/>
                <w:color w:val="auto"/>
                <w:spacing w:val="2"/>
                <w:szCs w:val="21"/>
                <w:highlight w:val="none"/>
                <w:lang w:eastAsia="zh" w:bidi="zh-CN"/>
              </w:rPr>
            </w:pPr>
            <w:r>
              <w:rPr>
                <w:rFonts w:hint="eastAsia" w:ascii="宋体" w:hAnsi="宋体" w:cs="宋体"/>
                <w:color w:val="auto"/>
                <w:spacing w:val="2"/>
                <w:szCs w:val="21"/>
                <w:highlight w:val="none"/>
                <w:lang w:eastAsia="zh" w:bidi="zh-CN"/>
              </w:rPr>
              <w:t>验收测试方案（3分）</w:t>
            </w:r>
          </w:p>
        </w:tc>
        <w:tc>
          <w:tcPr>
            <w:tcW w:w="4769" w:type="dxa"/>
            <w:noWrap w:val="0"/>
            <w:vAlign w:val="center"/>
          </w:tcPr>
          <w:p w14:paraId="1193C11C">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lang w:eastAsia="zh"/>
                <w:woUserID w:val="1"/>
              </w:rPr>
            </w:pPr>
            <w:r>
              <w:rPr>
                <w:rFonts w:hint="default"/>
                <w:color w:val="auto"/>
                <w:szCs w:val="22"/>
                <w:highlight w:val="none"/>
                <w:lang w:bidi="ar"/>
              </w:rPr>
              <w:t>1.</w:t>
            </w:r>
            <w:r>
              <w:rPr>
                <w:rFonts w:hint="eastAsia"/>
                <w:color w:val="auto"/>
                <w:szCs w:val="22"/>
                <w:highlight w:val="none"/>
                <w:lang w:eastAsia="zh" w:bidi="ar"/>
                <w:woUserID w:val="1"/>
              </w:rPr>
              <w:t>验收方案中需提供</w:t>
            </w:r>
            <w:r>
              <w:rPr>
                <w:rFonts w:hint="eastAsia"/>
                <w:color w:val="auto"/>
                <w:szCs w:val="22"/>
                <w:highlight w:val="none"/>
                <w:lang w:bidi="ar"/>
              </w:rPr>
              <w:t>保压、氦检、水分、氧份、颗粒</w:t>
            </w:r>
            <w:r>
              <w:rPr>
                <w:rFonts w:hint="eastAsia"/>
                <w:color w:val="auto"/>
                <w:szCs w:val="22"/>
                <w:highlight w:val="none"/>
                <w:lang w:eastAsia="zh" w:bidi="ar"/>
                <w:woUserID w:val="1"/>
              </w:rPr>
              <w:t>等</w:t>
            </w:r>
            <w:r>
              <w:rPr>
                <w:rFonts w:hint="eastAsia"/>
                <w:color w:val="auto"/>
                <w:szCs w:val="22"/>
                <w:highlight w:val="none"/>
                <w:lang w:bidi="ar"/>
              </w:rPr>
              <w:t>测试设备</w:t>
            </w:r>
            <w:r>
              <w:rPr>
                <w:rFonts w:hint="eastAsia"/>
                <w:color w:val="auto"/>
                <w:szCs w:val="22"/>
                <w:highlight w:val="none"/>
                <w:lang w:eastAsia="zh" w:bidi="ar"/>
                <w:woUserID w:val="1"/>
              </w:rPr>
              <w:t>的清单</w:t>
            </w:r>
            <w:r>
              <w:rPr>
                <w:rFonts w:hint="eastAsia"/>
                <w:color w:val="auto"/>
                <w:szCs w:val="22"/>
                <w:highlight w:val="none"/>
                <w:lang w:bidi="ar"/>
              </w:rPr>
              <w:t>和实物照片</w:t>
            </w:r>
            <w:r>
              <w:rPr>
                <w:rFonts w:hint="eastAsia"/>
                <w:color w:val="auto"/>
                <w:szCs w:val="22"/>
                <w:highlight w:val="none"/>
                <w:lang w:eastAsia="zh" w:bidi="ar"/>
                <w:woUserID w:val="1"/>
              </w:rPr>
              <w:t>，上述5项设备齐全的得1.5分，设备不齐全、未提供清单和实物照片或提供设备清单和实物照片不全的得0分</w:t>
            </w:r>
            <w:r>
              <w:rPr>
                <w:rFonts w:hint="eastAsia"/>
                <w:color w:val="auto"/>
                <w:szCs w:val="22"/>
                <w:highlight w:val="none"/>
                <w:lang w:bidi="ar"/>
              </w:rPr>
              <w:t>。</w:t>
            </w:r>
            <w:r>
              <w:rPr>
                <w:rFonts w:hint="eastAsia"/>
                <w:color w:val="auto"/>
                <w:szCs w:val="22"/>
                <w:highlight w:val="none"/>
                <w:lang w:eastAsia="zh" w:bidi="ar"/>
                <w:woUserID w:val="1"/>
              </w:rPr>
              <w:t>（1.5分）</w:t>
            </w:r>
            <w:r>
              <w:rPr>
                <w:rFonts w:hint="default"/>
                <w:color w:val="auto"/>
                <w:szCs w:val="22"/>
                <w:highlight w:val="none"/>
                <w:lang w:bidi="ar"/>
              </w:rPr>
              <w:br w:type="textWrapping"/>
            </w:r>
            <w:r>
              <w:rPr>
                <w:rFonts w:hint="default"/>
                <w:color w:val="auto"/>
                <w:szCs w:val="22"/>
                <w:highlight w:val="none"/>
                <w:lang w:bidi="ar"/>
              </w:rPr>
              <w:t>2.</w:t>
            </w:r>
            <w:r>
              <w:rPr>
                <w:rFonts w:hint="eastAsia" w:ascii="宋体" w:hAnsi="宋体" w:eastAsia="宋体" w:cs="宋体"/>
                <w:color w:val="auto"/>
                <w:kern w:val="2"/>
                <w:sz w:val="21"/>
                <w:szCs w:val="21"/>
                <w:highlight w:val="none"/>
                <w:woUserID w:val="1"/>
              </w:rPr>
              <w:t>拟派测试人员不少于</w:t>
            </w:r>
            <w:r>
              <w:rPr>
                <w:rFonts w:hint="default" w:ascii="Times New Roman" w:hAnsi="Times New Roman" w:eastAsia="宋体" w:cs="Times New Roman"/>
                <w:color w:val="auto"/>
                <w:kern w:val="2"/>
                <w:sz w:val="21"/>
                <w:szCs w:val="21"/>
                <w:highlight w:val="none"/>
                <w:woUserID w:val="1"/>
              </w:rPr>
              <w:t>2</w:t>
            </w:r>
            <w:r>
              <w:rPr>
                <w:rFonts w:hint="eastAsia" w:ascii="宋体" w:hAnsi="宋体" w:eastAsia="宋体" w:cs="宋体"/>
                <w:color w:val="auto"/>
                <w:kern w:val="2"/>
                <w:sz w:val="21"/>
                <w:szCs w:val="21"/>
                <w:highlight w:val="none"/>
                <w:woUserID w:val="1"/>
              </w:rPr>
              <w:t>人且提供拟派人员近</w:t>
            </w:r>
            <w:r>
              <w:rPr>
                <w:rFonts w:hint="default" w:ascii="Times New Roman" w:hAnsi="Times New Roman" w:eastAsia="宋体" w:cs="Times New Roman"/>
                <w:color w:val="auto"/>
                <w:kern w:val="2"/>
                <w:sz w:val="21"/>
                <w:szCs w:val="21"/>
                <w:highlight w:val="none"/>
                <w:woUserID w:val="1"/>
              </w:rPr>
              <w:t>6</w:t>
            </w:r>
            <w:r>
              <w:rPr>
                <w:rFonts w:hint="eastAsia" w:ascii="宋体" w:hAnsi="宋体" w:eastAsia="宋体" w:cs="宋体"/>
                <w:color w:val="auto"/>
                <w:kern w:val="2"/>
                <w:sz w:val="21"/>
                <w:szCs w:val="21"/>
                <w:highlight w:val="none"/>
                <w:woUserID w:val="1"/>
              </w:rPr>
              <w:t>个月的在职社保证明，提供</w:t>
            </w:r>
            <w:r>
              <w:rPr>
                <w:rFonts w:hint="default" w:ascii="Times New Roman" w:hAnsi="Times New Roman" w:eastAsia="宋体" w:cs="Times New Roman"/>
                <w:color w:val="auto"/>
                <w:kern w:val="2"/>
                <w:sz w:val="21"/>
                <w:szCs w:val="21"/>
                <w:highlight w:val="none"/>
                <w:woUserID w:val="1"/>
              </w:rPr>
              <w:t>2</w:t>
            </w:r>
            <w:r>
              <w:rPr>
                <w:rFonts w:hint="eastAsia" w:ascii="宋体" w:hAnsi="宋体" w:eastAsia="宋体" w:cs="宋体"/>
                <w:color w:val="auto"/>
                <w:kern w:val="2"/>
                <w:sz w:val="21"/>
                <w:szCs w:val="21"/>
                <w:highlight w:val="none"/>
                <w:woUserID w:val="1"/>
              </w:rPr>
              <w:t>名测试人员在职社保证明的得</w:t>
            </w:r>
            <w:r>
              <w:rPr>
                <w:rFonts w:hint="default" w:ascii="Times New Roman" w:hAnsi="Times New Roman" w:eastAsia="宋体" w:cs="Times New Roman"/>
                <w:color w:val="auto"/>
                <w:kern w:val="2"/>
                <w:sz w:val="21"/>
                <w:szCs w:val="21"/>
                <w:highlight w:val="none"/>
                <w:woUserID w:val="1"/>
              </w:rPr>
              <w:t>1.5</w:t>
            </w:r>
            <w:r>
              <w:rPr>
                <w:rFonts w:hint="eastAsia" w:ascii="宋体" w:hAnsi="宋体" w:eastAsia="宋体" w:cs="宋体"/>
                <w:color w:val="auto"/>
                <w:kern w:val="2"/>
                <w:sz w:val="21"/>
                <w:szCs w:val="21"/>
                <w:highlight w:val="none"/>
                <w:woUserID w:val="1"/>
              </w:rPr>
              <w:t>分，未提供或提供的人员数量、社保证明月份不足的得</w:t>
            </w:r>
            <w:r>
              <w:rPr>
                <w:rFonts w:hint="default" w:ascii="Times New Roman" w:hAnsi="Times New Roman" w:eastAsia="宋体" w:cs="Times New Roman"/>
                <w:color w:val="auto"/>
                <w:kern w:val="2"/>
                <w:sz w:val="21"/>
                <w:szCs w:val="21"/>
                <w:highlight w:val="none"/>
                <w:woUserID w:val="1"/>
              </w:rPr>
              <w:t>0</w:t>
            </w:r>
            <w:r>
              <w:rPr>
                <w:rFonts w:hint="eastAsia" w:ascii="宋体" w:hAnsi="宋体" w:eastAsia="宋体" w:cs="宋体"/>
                <w:color w:val="auto"/>
                <w:kern w:val="2"/>
                <w:sz w:val="21"/>
                <w:szCs w:val="21"/>
                <w:highlight w:val="none"/>
                <w:woUserID w:val="1"/>
              </w:rPr>
              <w:t>分。</w:t>
            </w:r>
            <w:r>
              <w:rPr>
                <w:rFonts w:hint="eastAsia" w:ascii="宋体" w:hAnsi="宋体" w:eastAsia="宋体" w:cs="宋体"/>
                <w:color w:val="auto"/>
                <w:kern w:val="2"/>
                <w:sz w:val="21"/>
                <w:szCs w:val="21"/>
                <w:highlight w:val="none"/>
                <w:lang w:eastAsia="zh"/>
                <w:woUserID w:val="1"/>
              </w:rPr>
              <w:t>（1.5分）</w:t>
            </w:r>
          </w:p>
        </w:tc>
      </w:tr>
      <w:tr w14:paraId="5E33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3F1BC20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38EE5B0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57B06C48">
            <w:pPr>
              <w:pStyle w:val="50"/>
              <w:keepNext w:val="0"/>
              <w:keepLines w:val="0"/>
              <w:suppressLineNumbers w:val="0"/>
              <w:spacing w:before="0" w:beforeAutospacing="0" w:after="0" w:afterAutospacing="0"/>
              <w:ind w:left="0" w:right="0"/>
              <w:jc w:val="center"/>
              <w:rPr>
                <w:rFonts w:hint="default" w:hAnsi="宋体"/>
                <w:color w:val="auto"/>
                <w:kern w:val="2"/>
                <w:sz w:val="21"/>
                <w:szCs w:val="21"/>
                <w:highlight w:val="none"/>
              </w:rPr>
            </w:pPr>
          </w:p>
        </w:tc>
        <w:tc>
          <w:tcPr>
            <w:tcW w:w="1071" w:type="dxa"/>
            <w:noWrap w:val="0"/>
            <w:vAlign w:val="center"/>
          </w:tcPr>
          <w:p w14:paraId="6B0ED5F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风险管理措施</w:t>
            </w:r>
          </w:p>
          <w:p w14:paraId="4448AFE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（2分）</w:t>
            </w:r>
          </w:p>
        </w:tc>
        <w:tc>
          <w:tcPr>
            <w:tcW w:w="4769" w:type="dxa"/>
            <w:noWrap w:val="0"/>
            <w:vAlign w:val="center"/>
          </w:tcPr>
          <w:p w14:paraId="4FE98565">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风险防控管理措施齐全，风险预控符合规范要求，风险控制要点定位准确，各阶段风险控制及应急措施得力得2分；</w:t>
            </w:r>
          </w:p>
          <w:p w14:paraId="714F0035">
            <w:pPr>
              <w:keepNext w:val="0"/>
              <w:keepLines w:val="0"/>
              <w:numPr>
                <w:ilvl w:val="0"/>
                <w:numId w:val="4"/>
              </w:numPr>
              <w:suppressLineNumbers w:val="0"/>
              <w:spacing w:before="0" w:beforeAutospacing="0" w:after="0" w:afterAutospacing="0"/>
              <w:ind w:left="0" w:right="0"/>
              <w:jc w:val="left"/>
              <w:rPr>
                <w:rFonts w:hint="default" w:ascii="宋体" w:hAnsi="宋体" w:cs="宋体"/>
                <w:bCs/>
                <w:color w:val="auto"/>
                <w:szCs w:val="21"/>
                <w:highlight w:val="none"/>
              </w:rPr>
            </w:pPr>
            <w:r>
              <w:rPr>
                <w:rFonts w:hint="eastAsia" w:ascii="宋体" w:hAnsi="宋体" w:cs="宋体"/>
                <w:color w:val="auto"/>
                <w:szCs w:val="21"/>
                <w:highlight w:val="none"/>
              </w:rPr>
              <w:t>风险防控管理措施基本齐全，风险预控符合规范要求，风险控制要点定位基本准确，有各阶段风险控制及应急措施得1分</w:t>
            </w:r>
            <w:r>
              <w:rPr>
                <w:rFonts w:hint="eastAsia" w:ascii="宋体" w:hAnsi="宋体" w:cs="宋体"/>
                <w:color w:val="auto"/>
                <w:szCs w:val="21"/>
                <w:highlight w:val="none"/>
                <w:lang w:eastAsia="zh"/>
                <w:woUserID w:val="3"/>
              </w:rPr>
              <w:t>；</w:t>
            </w:r>
          </w:p>
          <w:p w14:paraId="2DA6CA03">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
                <w:woUserID w:val="3"/>
              </w:rPr>
            </w:pPr>
            <w:r>
              <w:rPr>
                <w:rFonts w:hint="eastAsia" w:ascii="宋体" w:hAnsi="宋体" w:cs="宋体"/>
                <w:color w:val="auto"/>
                <w:szCs w:val="21"/>
                <w:highlight w:val="none"/>
                <w:lang w:eastAsia="zh"/>
                <w:woUserID w:val="3"/>
              </w:rPr>
              <w:t>（3）</w:t>
            </w:r>
            <w:r>
              <w:rPr>
                <w:rFonts w:hint="eastAsia" w:ascii="宋体" w:hAnsi="宋体" w:cs="宋体"/>
                <w:color w:val="auto"/>
                <w:szCs w:val="21"/>
                <w:highlight w:val="none"/>
                <w:woUserID w:val="3"/>
              </w:rPr>
              <w:t>风险管理措施</w:t>
            </w:r>
            <w:r>
              <w:rPr>
                <w:rFonts w:hint="eastAsia" w:ascii="宋体" w:hAnsi="宋体" w:eastAsia="宋体" w:cs="宋体"/>
                <w:color w:val="auto"/>
                <w:kern w:val="2"/>
                <w:sz w:val="21"/>
                <w:szCs w:val="21"/>
                <w:highlight w:val="none"/>
                <w:woUserID w:val="3"/>
              </w:rPr>
              <w:t>内容</w:t>
            </w:r>
            <w:r>
              <w:rPr>
                <w:rFonts w:hint="eastAsia" w:ascii="宋体" w:hAnsi="宋体" w:eastAsia="宋体" w:cs="宋体"/>
                <w:color w:val="auto"/>
                <w:kern w:val="0"/>
                <w:sz w:val="21"/>
                <w:szCs w:val="21"/>
                <w:highlight w:val="none"/>
                <w:woUserID w:val="3"/>
              </w:rPr>
              <w:t>笼统简单</w:t>
            </w:r>
            <w:r>
              <w:rPr>
                <w:rFonts w:hint="eastAsia" w:ascii="宋体" w:hAnsi="宋体" w:eastAsia="宋体" w:cs="宋体"/>
                <w:bCs/>
                <w:color w:val="auto"/>
                <w:kern w:val="2"/>
                <w:sz w:val="21"/>
                <w:szCs w:val="21"/>
                <w:highlight w:val="none"/>
                <w:woUserID w:val="3"/>
              </w:rPr>
              <w:t>、</w:t>
            </w:r>
            <w:r>
              <w:rPr>
                <w:rFonts w:hint="eastAsia" w:ascii="宋体" w:hAnsi="宋体" w:eastAsia="宋体" w:cs="宋体"/>
                <w:color w:val="auto"/>
                <w:kern w:val="2"/>
                <w:sz w:val="21"/>
                <w:szCs w:val="21"/>
                <w:highlight w:val="none"/>
                <w:woUserID w:val="3"/>
              </w:rPr>
              <w:t>内容有所缺失，针对性较差</w:t>
            </w:r>
            <w:r>
              <w:rPr>
                <w:rFonts w:hint="eastAsia" w:ascii="宋体" w:hAnsi="宋体" w:eastAsia="宋体" w:cs="宋体"/>
                <w:color w:val="auto"/>
                <w:kern w:val="2"/>
                <w:sz w:val="21"/>
                <w:szCs w:val="21"/>
                <w:highlight w:val="none"/>
                <w:lang w:eastAsia="zh"/>
                <w:woUserID w:val="3"/>
              </w:rPr>
              <w:t>得0.5分；</w:t>
            </w:r>
          </w:p>
          <w:p w14:paraId="604884FB">
            <w:pPr>
              <w:keepNext w:val="0"/>
              <w:keepLines w:val="0"/>
              <w:numPr>
                <w:ilvl w:val="0"/>
                <w:numId w:val="0"/>
              </w:numPr>
              <w:suppressLineNumbers w:val="0"/>
              <w:spacing w:before="0" w:beforeAutospacing="0" w:after="0" w:afterAutospacing="0"/>
              <w:ind w:left="0" w:right="0" w:rightChars="0"/>
              <w:jc w:val="left"/>
              <w:rPr>
                <w:rFonts w:hint="default" w:ascii="宋体" w:hAnsi="宋体" w:cs="宋体"/>
                <w:bCs/>
                <w:color w:val="auto"/>
                <w:szCs w:val="21"/>
                <w:highlight w:val="none"/>
              </w:rPr>
            </w:pPr>
            <w:r>
              <w:rPr>
                <w:rFonts w:hint="eastAsia" w:ascii="宋体" w:hAnsi="宋体" w:cs="宋体"/>
                <w:color w:val="auto"/>
                <w:szCs w:val="21"/>
                <w:highlight w:val="none"/>
              </w:rPr>
              <w:t>没有此项得0分。</w:t>
            </w:r>
          </w:p>
        </w:tc>
      </w:tr>
      <w:tr w14:paraId="6ACE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restart"/>
            <w:noWrap w:val="0"/>
            <w:vAlign w:val="center"/>
          </w:tcPr>
          <w:p w14:paraId="37908F6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2.2.4（3）</w:t>
            </w:r>
          </w:p>
        </w:tc>
        <w:tc>
          <w:tcPr>
            <w:tcW w:w="1100" w:type="dxa"/>
            <w:vMerge w:val="restart"/>
            <w:noWrap w:val="0"/>
            <w:vAlign w:val="center"/>
          </w:tcPr>
          <w:p w14:paraId="36F1CAF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综合标</w:t>
            </w:r>
          </w:p>
          <w:p w14:paraId="0AFE391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评分</w:t>
            </w:r>
          </w:p>
          <w:p w14:paraId="6DC09244">
            <w:pPr>
              <w:pStyle w:val="10"/>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
                <w:woUserID w:val="2"/>
              </w:rPr>
              <w:t>14</w:t>
            </w:r>
            <w:r>
              <w:rPr>
                <w:rFonts w:hint="eastAsia" w:ascii="宋体" w:hAnsi="宋体" w:cs="宋体"/>
                <w:color w:val="auto"/>
                <w:szCs w:val="21"/>
                <w:highlight w:val="none"/>
              </w:rPr>
              <w:t>分）</w:t>
            </w:r>
          </w:p>
        </w:tc>
        <w:tc>
          <w:tcPr>
            <w:tcW w:w="1125" w:type="dxa"/>
            <w:vMerge w:val="restart"/>
            <w:noWrap w:val="0"/>
            <w:vAlign w:val="center"/>
          </w:tcPr>
          <w:p w14:paraId="755B44F4">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项目人员配备</w:t>
            </w:r>
          </w:p>
          <w:p w14:paraId="115E4973">
            <w:pPr>
              <w:pStyle w:val="25"/>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lang w:eastAsia="zh"/>
                <w:woUserID w:val="6"/>
              </w:rPr>
            </w:pPr>
            <w:r>
              <w:rPr>
                <w:rFonts w:hint="eastAsia" w:ascii="宋体" w:hAnsi="宋体" w:cs="宋体"/>
                <w:color w:val="auto"/>
                <w:kern w:val="0"/>
                <w:szCs w:val="21"/>
                <w:highlight w:val="none"/>
                <w:lang w:eastAsia="zh"/>
                <w:woUserID w:val="6"/>
              </w:rPr>
              <w:t>（</w:t>
            </w:r>
            <w:r>
              <w:rPr>
                <w:rFonts w:hint="eastAsia" w:ascii="宋体" w:hAnsi="宋体" w:cs="宋体"/>
                <w:color w:val="auto"/>
                <w:kern w:val="0"/>
                <w:szCs w:val="21"/>
                <w:highlight w:val="none"/>
                <w:lang w:eastAsia="zh"/>
                <w:woUserID w:val="2"/>
              </w:rPr>
              <w:t>4</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
                <w:woUserID w:val="6"/>
              </w:rPr>
              <w:t>）</w:t>
            </w:r>
          </w:p>
        </w:tc>
        <w:tc>
          <w:tcPr>
            <w:tcW w:w="1071" w:type="dxa"/>
            <w:noWrap w:val="0"/>
            <w:vAlign w:val="center"/>
          </w:tcPr>
          <w:p w14:paraId="1D57CC04">
            <w:pPr>
              <w:pStyle w:val="10"/>
              <w:keepNext w:val="0"/>
              <w:keepLines w:val="0"/>
              <w:suppressLineNumbers w:val="0"/>
              <w:spacing w:before="0" w:beforeAutospacing="0" w:after="0" w:afterAutospacing="0"/>
              <w:ind w:left="0" w:right="0"/>
              <w:jc w:val="both"/>
              <w:rPr>
                <w:rFonts w:hint="default" w:ascii="宋体" w:hAnsi="宋体" w:cs="宋体"/>
                <w:color w:val="auto"/>
                <w:kern w:val="0"/>
                <w:szCs w:val="21"/>
                <w:highlight w:val="none"/>
              </w:rPr>
            </w:pPr>
            <w:r>
              <w:rPr>
                <w:rFonts w:hint="eastAsia" w:ascii="宋体" w:hAnsi="宋体" w:cs="宋体"/>
                <w:color w:val="auto"/>
                <w:kern w:val="0"/>
                <w:szCs w:val="21"/>
                <w:highlight w:val="none"/>
              </w:rPr>
              <w:t>设计团队</w:t>
            </w:r>
          </w:p>
          <w:p w14:paraId="61C6DA1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lang w:eastAsia="zh"/>
                <w:woUserID w:val="2"/>
              </w:rPr>
              <w:t>2</w:t>
            </w:r>
            <w:r>
              <w:rPr>
                <w:rFonts w:hint="eastAsia" w:ascii="宋体" w:hAnsi="宋体" w:cs="宋体"/>
                <w:color w:val="auto"/>
                <w:kern w:val="0"/>
                <w:szCs w:val="21"/>
                <w:highlight w:val="none"/>
              </w:rPr>
              <w:t>分</w:t>
            </w:r>
          </w:p>
        </w:tc>
        <w:tc>
          <w:tcPr>
            <w:tcW w:w="4769" w:type="dxa"/>
            <w:noWrap w:val="0"/>
            <w:vAlign w:val="center"/>
          </w:tcPr>
          <w:p w14:paraId="5FA10619">
            <w:pPr>
              <w:keepNext w:val="0"/>
              <w:keepLines w:val="0"/>
              <w:numPr>
                <w:ilvl w:val="0"/>
                <w:numId w:val="0"/>
              </w:numPr>
              <w:suppressLineNumbers w:val="0"/>
              <w:spacing w:before="0" w:beforeAutospacing="0" w:after="0" w:afterAutospacing="0"/>
              <w:ind w:left="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主要管理及技术人员（包括但不限于：设计负责人、技术负责人）具有副高级工程类相关专业职称的（相关专业包括：动力、给排水、电气、暖通、弱电智能化、消防等专业）。每提供</w:t>
            </w:r>
            <w:r>
              <w:rPr>
                <w:rFonts w:hint="default"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eastAsia="zh-CN"/>
              </w:rPr>
              <w:t>人副高级职称证书的得</w:t>
            </w:r>
            <w:r>
              <w:rPr>
                <w:rFonts w:hint="default" w:ascii="宋体" w:hAnsi="宋体" w:eastAsia="宋体" w:cs="宋体"/>
                <w:color w:val="auto"/>
                <w:szCs w:val="21"/>
                <w:highlight w:val="none"/>
                <w:lang w:val="en-US" w:eastAsia="zh-CN"/>
              </w:rPr>
              <w:t>0.25</w:t>
            </w:r>
            <w:r>
              <w:rPr>
                <w:rFonts w:hint="eastAsia" w:ascii="宋体" w:hAnsi="宋体" w:eastAsia="宋体" w:cs="宋体"/>
                <w:color w:val="auto"/>
                <w:szCs w:val="21"/>
                <w:highlight w:val="none"/>
                <w:lang w:val="en-US" w:eastAsia="zh-CN"/>
              </w:rPr>
              <w:t>分，最多得</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14:paraId="5AF821EF">
            <w:pPr>
              <w:keepNext w:val="0"/>
              <w:keepLines w:val="0"/>
              <w:numPr>
                <w:ilvl w:val="0"/>
                <w:numId w:val="0"/>
              </w:numPr>
              <w:suppressLineNumbers w:val="0"/>
              <w:spacing w:before="0" w:beforeAutospacing="0" w:after="0" w:afterAutospacing="0"/>
              <w:ind w:left="0" w:right="0" w:rightChars="0"/>
              <w:jc w:val="left"/>
              <w:rPr>
                <w:rFonts w:hint="default" w:ascii="宋体" w:hAnsi="宋体" w:cs="宋体"/>
                <w:color w:val="auto"/>
                <w:szCs w:val="21"/>
                <w:highlight w:val="none"/>
              </w:rPr>
            </w:pPr>
            <w:r>
              <w:rPr>
                <w:rFonts w:hint="eastAsia" w:ascii="宋体" w:hAnsi="宋体" w:eastAsia="宋体" w:cs="宋体"/>
                <w:b/>
                <w:bCs/>
                <w:color w:val="auto"/>
                <w:szCs w:val="21"/>
                <w:highlight w:val="none"/>
                <w:lang w:val="en-US" w:eastAsia="zh-CN"/>
              </w:rPr>
              <w:t>注：响应文件中附相应证明材料。（证明材料包括：职称证书、职称证书在相关发证机构官方网站的查询截图、供应商（或其不具备独立法人资格的分支机构）为其缴纳的响应文件开启前半年内连续3个月（不含开启当月）的社保证明材料的扫描件，否则不得分。</w:t>
            </w:r>
          </w:p>
        </w:tc>
      </w:tr>
      <w:tr w14:paraId="1E6B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5E50C83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0FFF3290">
            <w:pPr>
              <w:pStyle w:val="10"/>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25" w:type="dxa"/>
            <w:vMerge w:val="continue"/>
            <w:noWrap w:val="0"/>
            <w:vAlign w:val="center"/>
          </w:tcPr>
          <w:p w14:paraId="5DFB4ADD">
            <w:pPr>
              <w:pStyle w:val="25"/>
              <w:keepNext w:val="0"/>
              <w:keepLines w:val="0"/>
              <w:suppressLineNumbers w:val="0"/>
              <w:spacing w:before="0" w:beforeAutospacing="0" w:after="0" w:afterAutospacing="0"/>
              <w:ind w:left="0" w:right="0" w:firstLine="0" w:firstLineChars="0"/>
              <w:rPr>
                <w:rFonts w:hint="default" w:ascii="宋体" w:hAnsi="宋体" w:cs="宋体"/>
                <w:color w:val="auto"/>
                <w:kern w:val="0"/>
                <w:szCs w:val="21"/>
                <w:highlight w:val="none"/>
              </w:rPr>
            </w:pPr>
          </w:p>
        </w:tc>
        <w:tc>
          <w:tcPr>
            <w:tcW w:w="1071" w:type="dxa"/>
            <w:noWrap w:val="0"/>
            <w:vAlign w:val="center"/>
          </w:tcPr>
          <w:p w14:paraId="39E7E811">
            <w:pPr>
              <w:pStyle w:val="10"/>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施工管理团队</w:t>
            </w:r>
          </w:p>
          <w:p w14:paraId="2814BBB6">
            <w:pPr>
              <w:pStyle w:val="10"/>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s="宋体"/>
                <w:color w:val="auto"/>
                <w:kern w:val="0"/>
                <w:szCs w:val="21"/>
                <w:highlight w:val="none"/>
                <w:lang w:eastAsia="zh"/>
                <w:woUserID w:val="2"/>
              </w:rPr>
              <w:t>2</w:t>
            </w:r>
            <w:r>
              <w:rPr>
                <w:rFonts w:hint="eastAsia" w:ascii="宋体" w:hAnsi="宋体" w:cs="宋体"/>
                <w:color w:val="auto"/>
                <w:kern w:val="0"/>
                <w:szCs w:val="21"/>
                <w:highlight w:val="none"/>
              </w:rPr>
              <w:t>分</w:t>
            </w:r>
          </w:p>
        </w:tc>
        <w:tc>
          <w:tcPr>
            <w:tcW w:w="4769" w:type="dxa"/>
            <w:noWrap w:val="0"/>
            <w:vAlign w:val="center"/>
          </w:tcPr>
          <w:p w14:paraId="5EF171C6">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宋体" w:hAnsi="宋体" w:eastAsia="宋体" w:cs="宋体"/>
                <w:bCs/>
                <w:color w:val="auto"/>
                <w:kern w:val="0"/>
                <w:sz w:val="21"/>
                <w:szCs w:val="21"/>
                <w:highlight w:val="none"/>
                <w:woUserID w:val="1"/>
              </w:rPr>
            </w:pPr>
            <w:r>
              <w:rPr>
                <w:rFonts w:hint="eastAsia" w:ascii="宋体" w:hAnsi="宋体" w:eastAsia="宋体" w:cs="宋体"/>
                <w:bCs/>
                <w:color w:val="auto"/>
                <w:kern w:val="0"/>
                <w:sz w:val="21"/>
                <w:szCs w:val="21"/>
                <w:highlight w:val="none"/>
                <w:lang w:val="en-US" w:eastAsia="zh-CN" w:bidi="ar"/>
                <w:woUserID w:val="1"/>
              </w:rPr>
              <w:t>主要管理及技术人员中（包括但不限于：</w:t>
            </w:r>
            <w:r>
              <w:rPr>
                <w:rFonts w:hint="eastAsia" w:ascii="宋体" w:hAnsi="宋体" w:eastAsia="宋体" w:cs="宋体"/>
                <w:color w:val="auto"/>
                <w:kern w:val="0"/>
                <w:sz w:val="21"/>
                <w:szCs w:val="21"/>
                <w:highlight w:val="none"/>
                <w:lang w:val="en-US" w:eastAsia="zh-CN" w:bidi="ar"/>
                <w:woUserID w:val="1"/>
              </w:rPr>
              <w:t>项目经理、技术负责人，</w:t>
            </w:r>
            <w:r>
              <w:rPr>
                <w:rFonts w:hint="eastAsia" w:ascii="宋体" w:hAnsi="宋体" w:eastAsia="宋体" w:cs="宋体"/>
                <w:color w:val="auto"/>
                <w:kern w:val="0"/>
                <w:sz w:val="20"/>
                <w:szCs w:val="20"/>
                <w:highlight w:val="none"/>
                <w:lang w:val="en-US" w:eastAsia="zh-CN" w:bidi="ar"/>
                <w:woUserID w:val="1"/>
              </w:rPr>
              <w:t>施工员、质量员、安全员、资料员、材料员、造价师人员</w:t>
            </w:r>
            <w:r>
              <w:rPr>
                <w:rFonts w:hint="eastAsia" w:ascii="宋体" w:hAnsi="宋体" w:eastAsia="宋体" w:cs="宋体"/>
                <w:bCs/>
                <w:color w:val="auto"/>
                <w:kern w:val="0"/>
                <w:sz w:val="21"/>
                <w:szCs w:val="21"/>
                <w:highlight w:val="none"/>
                <w:lang w:val="en-US" w:eastAsia="zh-CN" w:bidi="ar"/>
                <w:woUserID w:val="1"/>
              </w:rPr>
              <w:t>）具有工程类机电专业副高级职称的，每</w:t>
            </w:r>
            <w:r>
              <w:rPr>
                <w:rFonts w:hint="eastAsia" w:ascii="宋体" w:hAnsi="宋体" w:eastAsia="宋体" w:cs="宋体"/>
                <w:bCs/>
                <w:color w:val="auto"/>
                <w:kern w:val="0"/>
                <w:sz w:val="21"/>
                <w:szCs w:val="21"/>
                <w:highlight w:val="none"/>
                <w:lang w:val="en-US" w:eastAsia="zh" w:bidi="ar"/>
                <w:woUserID w:val="1"/>
              </w:rPr>
              <w:t>提供</w:t>
            </w:r>
            <w:r>
              <w:rPr>
                <w:rFonts w:hint="eastAsia" w:ascii="宋体" w:hAnsi="宋体" w:eastAsia="宋体" w:cs="宋体"/>
                <w:bCs/>
                <w:color w:val="auto"/>
                <w:kern w:val="0"/>
                <w:sz w:val="21"/>
                <w:szCs w:val="21"/>
                <w:highlight w:val="none"/>
                <w:lang w:val="en-US" w:eastAsia="zh-CN" w:bidi="ar"/>
                <w:woUserID w:val="1"/>
              </w:rPr>
              <w:t>1人</w:t>
            </w:r>
            <w:r>
              <w:rPr>
                <w:rFonts w:hint="eastAsia" w:ascii="宋体" w:hAnsi="宋体" w:eastAsia="宋体" w:cs="宋体"/>
                <w:bCs/>
                <w:color w:val="auto"/>
                <w:kern w:val="0"/>
                <w:sz w:val="21"/>
                <w:szCs w:val="21"/>
                <w:highlight w:val="none"/>
                <w:lang w:val="en-US" w:eastAsia="zh" w:bidi="ar"/>
                <w:woUserID w:val="1"/>
              </w:rPr>
              <w:t>副高级职称的</w:t>
            </w:r>
            <w:r>
              <w:rPr>
                <w:rFonts w:hint="eastAsia" w:ascii="宋体" w:hAnsi="宋体" w:eastAsia="宋体" w:cs="宋体"/>
                <w:bCs/>
                <w:color w:val="auto"/>
                <w:kern w:val="0"/>
                <w:sz w:val="21"/>
                <w:szCs w:val="21"/>
                <w:highlight w:val="none"/>
                <w:lang w:val="en-US" w:eastAsia="zh-CN" w:bidi="ar"/>
                <w:woUserID w:val="1"/>
              </w:rPr>
              <w:t>得0.25分，最多得2分。</w:t>
            </w:r>
          </w:p>
          <w:p w14:paraId="3716776B">
            <w:pPr>
              <w:keepNext w:val="0"/>
              <w:keepLines w:val="0"/>
              <w:widowControl w:val="0"/>
              <w:suppressLineNumbers w:val="0"/>
              <w:spacing w:before="0" w:beforeAutospacing="0" w:after="0" w:afterAutospacing="0" w:line="240" w:lineRule="auto"/>
              <w:ind w:left="0" w:right="0" w:firstLine="422" w:firstLineChars="200"/>
              <w:jc w:val="both"/>
              <w:rPr>
                <w:rFonts w:hint="default" w:ascii="宋体" w:hAnsi="宋体"/>
                <w:color w:val="auto"/>
                <w:szCs w:val="21"/>
                <w:highlight w:val="none"/>
              </w:rPr>
            </w:pPr>
            <w:r>
              <w:rPr>
                <w:rFonts w:hint="eastAsia" w:ascii="宋体" w:hAnsi="宋体" w:eastAsia="宋体" w:cs="宋体"/>
                <w:b/>
                <w:bCs w:val="0"/>
                <w:color w:val="auto"/>
                <w:kern w:val="2"/>
                <w:sz w:val="21"/>
                <w:szCs w:val="21"/>
                <w:highlight w:val="none"/>
                <w:lang w:val="en-US" w:eastAsia="zh-CN" w:bidi="ar"/>
                <w:woUserID w:val="1"/>
              </w:rPr>
              <w:t>注：</w:t>
            </w:r>
            <w:r>
              <w:rPr>
                <w:rFonts w:hint="eastAsia" w:ascii="宋体" w:hAnsi="宋体" w:eastAsia="宋体" w:cs="宋体"/>
                <w:b/>
                <w:bCs/>
                <w:color w:val="auto"/>
                <w:kern w:val="0"/>
                <w:sz w:val="21"/>
                <w:szCs w:val="21"/>
                <w:highlight w:val="none"/>
                <w:lang w:val="en-US" w:eastAsia="zh-CN" w:bidi="ar"/>
                <w:woUserID w:val="1"/>
              </w:rPr>
              <w:t>响应文件中附相应证明材料。（证明材料包括：职称证书、职称证书在相关发证机构官方网站的查询截图、供应商（或其不具备独立法人资格的分支机构）为其缴纳的响应文件开启前半年内连续3个月（不含开启当月）的社保证明材料的扫描件，否则不得分。</w:t>
            </w:r>
          </w:p>
        </w:tc>
      </w:tr>
      <w:tr w14:paraId="344C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075" w:type="dxa"/>
            <w:vMerge w:val="continue"/>
            <w:noWrap w:val="0"/>
            <w:vAlign w:val="center"/>
          </w:tcPr>
          <w:p w14:paraId="57CC246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286A816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96" w:type="dxa"/>
            <w:gridSpan w:val="2"/>
            <w:noWrap w:val="0"/>
            <w:vAlign w:val="center"/>
          </w:tcPr>
          <w:p w14:paraId="5C82B4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质量管理体系与措施</w:t>
            </w:r>
          </w:p>
          <w:p w14:paraId="01A5A3F8">
            <w:pPr>
              <w:keepNext w:val="0"/>
              <w:keepLines w:val="0"/>
              <w:widowControl/>
              <w:suppressLineNumbers w:val="0"/>
              <w:spacing w:before="0" w:beforeAutospacing="0" w:after="0" w:afterAutospacing="0"/>
              <w:ind w:left="0" w:right="0"/>
              <w:jc w:val="center"/>
              <w:rPr>
                <w:rFonts w:hint="eastAsia"/>
                <w:color w:val="auto"/>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woUserID w:val="2"/>
              </w:rPr>
              <w:t>2</w:t>
            </w:r>
            <w:r>
              <w:rPr>
                <w:rFonts w:hint="eastAsia" w:ascii="宋体" w:hAnsi="宋体" w:cs="宋体"/>
                <w:color w:val="auto"/>
                <w:szCs w:val="21"/>
                <w:highlight w:val="none"/>
                <w:lang w:bidi="ar"/>
              </w:rPr>
              <w:t>分）</w:t>
            </w:r>
          </w:p>
        </w:tc>
        <w:tc>
          <w:tcPr>
            <w:tcW w:w="4769" w:type="dxa"/>
            <w:noWrap w:val="0"/>
            <w:vAlign w:val="center"/>
          </w:tcPr>
          <w:p w14:paraId="273A7897">
            <w:pPr>
              <w:keepNext w:val="0"/>
              <w:keepLines w:val="0"/>
              <w:widowControl/>
              <w:suppressLineNumbers w:val="0"/>
              <w:spacing w:before="0" w:beforeAutospacing="0" w:after="0" w:afterAutospacing="0"/>
              <w:ind w:left="0" w:right="0"/>
              <w:jc w:val="left"/>
              <w:rPr>
                <w:rFonts w:hint="eastAsia"/>
                <w:color w:val="auto"/>
                <w:szCs w:val="21"/>
                <w:highlight w:val="none"/>
              </w:rPr>
            </w:pPr>
            <w:r>
              <w:rPr>
                <w:rFonts w:hint="eastAsia" w:ascii="宋体" w:hAnsi="宋体" w:cs="宋体"/>
                <w:color w:val="auto"/>
                <w:spacing w:val="-1"/>
                <w:szCs w:val="21"/>
                <w:highlight w:val="none"/>
                <w:lang w:bidi="ar"/>
              </w:rPr>
              <w:t>提供三体系证书ISO9001质量管理体系（0.5分）、ISO14001环境管理体系（0.5分）、ISO45001职业健康安全管理体系（0.5分）；认证范围</w:t>
            </w:r>
            <w:r>
              <w:rPr>
                <w:rFonts w:hint="eastAsia" w:ascii="宋体" w:hAnsi="宋体" w:cs="宋体"/>
                <w:color w:val="auto"/>
                <w:spacing w:val="-1"/>
                <w:szCs w:val="21"/>
                <w:highlight w:val="none"/>
                <w:lang w:eastAsia="zh" w:bidi="ar"/>
                <w:woUserID w:val="2"/>
              </w:rPr>
              <w:t>全部</w:t>
            </w:r>
            <w:r>
              <w:rPr>
                <w:rFonts w:hint="eastAsia" w:ascii="宋体" w:hAnsi="宋体" w:cs="宋体"/>
                <w:color w:val="auto"/>
                <w:spacing w:val="-1"/>
                <w:szCs w:val="21"/>
                <w:highlight w:val="none"/>
                <w:lang w:bidi="ar"/>
              </w:rPr>
              <w:t>包含净化工程的</w:t>
            </w:r>
            <w:r>
              <w:rPr>
                <w:rFonts w:hint="eastAsia" w:ascii="宋体" w:hAnsi="宋体" w:cs="宋体"/>
                <w:color w:val="auto"/>
                <w:spacing w:val="-1"/>
                <w:szCs w:val="21"/>
                <w:highlight w:val="none"/>
                <w:lang w:eastAsia="zh" w:bidi="ar"/>
                <w:woUserID w:val="2"/>
              </w:rPr>
              <w:t>，再加0.5分</w:t>
            </w:r>
            <w:r>
              <w:rPr>
                <w:rFonts w:hint="eastAsia" w:ascii="宋体" w:hAnsi="宋体" w:cs="宋体"/>
                <w:color w:val="auto"/>
                <w:spacing w:val="-1"/>
                <w:szCs w:val="21"/>
                <w:highlight w:val="none"/>
                <w:lang w:bidi="ar"/>
              </w:rPr>
              <w:t>，满分</w:t>
            </w:r>
            <w:r>
              <w:rPr>
                <w:rFonts w:hint="eastAsia" w:ascii="宋体" w:hAnsi="宋体" w:cs="宋体"/>
                <w:color w:val="auto"/>
                <w:spacing w:val="-1"/>
                <w:szCs w:val="21"/>
                <w:highlight w:val="none"/>
                <w:lang w:eastAsia="zh" w:bidi="ar"/>
                <w:woUserID w:val="2"/>
              </w:rPr>
              <w:t>2</w:t>
            </w:r>
            <w:r>
              <w:rPr>
                <w:rFonts w:hint="eastAsia" w:ascii="宋体" w:hAnsi="宋体" w:cs="宋体"/>
                <w:color w:val="auto"/>
                <w:spacing w:val="-1"/>
                <w:szCs w:val="21"/>
                <w:highlight w:val="none"/>
                <w:lang w:bidi="ar"/>
              </w:rPr>
              <w:t>分</w:t>
            </w:r>
          </w:p>
        </w:tc>
      </w:tr>
      <w:tr w14:paraId="2535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3C1A86C8">
            <w:pPr>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Cs w:val="21"/>
                <w:highlight w:val="none"/>
              </w:rPr>
            </w:pPr>
          </w:p>
        </w:tc>
        <w:tc>
          <w:tcPr>
            <w:tcW w:w="1100" w:type="dxa"/>
            <w:vMerge w:val="continue"/>
            <w:noWrap w:val="0"/>
            <w:vAlign w:val="center"/>
          </w:tcPr>
          <w:p w14:paraId="641BE004">
            <w:pPr>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Cs w:val="21"/>
                <w:highlight w:val="none"/>
              </w:rPr>
            </w:pPr>
          </w:p>
        </w:tc>
        <w:tc>
          <w:tcPr>
            <w:tcW w:w="2196" w:type="dxa"/>
            <w:gridSpan w:val="2"/>
            <w:noWrap w:val="0"/>
            <w:vAlign w:val="center"/>
          </w:tcPr>
          <w:p w14:paraId="57BB281E">
            <w:pPr>
              <w:pStyle w:val="50"/>
              <w:keepNext w:val="0"/>
              <w:keepLines w:val="0"/>
              <w:suppressLineNumbers w:val="0"/>
              <w:spacing w:before="0" w:beforeAutospacing="0" w:after="0" w:afterAutospacing="0"/>
              <w:ind w:left="0" w:leftChars="0" w:right="0" w:firstLine="0" w:firstLineChars="0"/>
              <w:jc w:val="center"/>
              <w:rPr>
                <w:rFonts w:hint="eastAsia" w:hAnsi="宋体"/>
                <w:color w:val="auto"/>
                <w:sz w:val="21"/>
                <w:szCs w:val="21"/>
                <w:highlight w:val="none"/>
                <w:lang w:eastAsia="zh"/>
                <w:woUserID w:val="3"/>
              </w:rPr>
            </w:pPr>
            <w:r>
              <w:rPr>
                <w:rFonts w:hint="eastAsia" w:hAnsi="宋体"/>
                <w:color w:val="auto"/>
                <w:sz w:val="21"/>
                <w:szCs w:val="21"/>
                <w:highlight w:val="none"/>
                <w:lang w:eastAsia="zh"/>
                <w:woUserID w:val="3"/>
              </w:rPr>
              <w:t>类似项目业绩</w:t>
            </w:r>
          </w:p>
          <w:p w14:paraId="61D8432E">
            <w:pPr>
              <w:pStyle w:val="50"/>
              <w:keepNext w:val="0"/>
              <w:keepLines w:val="0"/>
              <w:suppressLineNumbers w:val="0"/>
              <w:spacing w:before="0" w:beforeAutospacing="0" w:after="0" w:afterAutospacing="0"/>
              <w:ind w:left="0" w:leftChars="0" w:right="0" w:firstLine="0" w:firstLineChars="0"/>
              <w:jc w:val="center"/>
              <w:rPr>
                <w:rFonts w:hint="eastAsia" w:hAnsi="宋体"/>
                <w:color w:val="auto"/>
                <w:sz w:val="21"/>
                <w:szCs w:val="21"/>
                <w:highlight w:val="none"/>
                <w:lang w:eastAsia="zh"/>
                <w:woUserID w:val="3"/>
              </w:rPr>
            </w:pPr>
            <w:r>
              <w:rPr>
                <w:rFonts w:hint="eastAsia" w:hAnsi="宋体"/>
                <w:color w:val="auto"/>
                <w:sz w:val="21"/>
                <w:szCs w:val="21"/>
                <w:highlight w:val="none"/>
                <w:lang w:eastAsia="zh"/>
                <w:woUserID w:val="3"/>
              </w:rPr>
              <w:t>（6</w:t>
            </w:r>
            <w:r>
              <w:rPr>
                <w:rFonts w:hint="eastAsia" w:hAnsi="宋体"/>
                <w:color w:val="auto"/>
                <w:sz w:val="21"/>
                <w:szCs w:val="21"/>
                <w:highlight w:val="none"/>
                <w:lang w:eastAsia="zh"/>
                <w:woUserID w:val="1"/>
              </w:rPr>
              <w:t>分</w:t>
            </w:r>
            <w:r>
              <w:rPr>
                <w:rFonts w:hint="eastAsia" w:hAnsi="宋体"/>
                <w:color w:val="auto"/>
                <w:sz w:val="21"/>
                <w:szCs w:val="21"/>
                <w:highlight w:val="none"/>
                <w:lang w:eastAsia="zh"/>
                <w:woUserID w:val="3"/>
              </w:rPr>
              <w:t>）</w:t>
            </w:r>
          </w:p>
        </w:tc>
        <w:tc>
          <w:tcPr>
            <w:tcW w:w="4769" w:type="dxa"/>
            <w:noWrap w:val="0"/>
            <w:vAlign w:val="center"/>
          </w:tcPr>
          <w:p w14:paraId="23036D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 w:bidi="ar"/>
                <w:woUserID w:val="3"/>
              </w:rPr>
            </w:pPr>
            <w:r>
              <w:rPr>
                <w:rFonts w:hint="default" w:ascii="Times New Roman" w:hAnsi="Times New Roman" w:eastAsia="宋体" w:cs="Times New Roman"/>
                <w:color w:val="auto"/>
                <w:kern w:val="2"/>
                <w:sz w:val="21"/>
                <w:szCs w:val="21"/>
                <w:highlight w:val="none"/>
                <w:woUserID w:val="3"/>
              </w:rPr>
              <w:t>202</w:t>
            </w:r>
            <w:r>
              <w:rPr>
                <w:rFonts w:hint="default" w:ascii="宋体" w:hAnsi="宋体" w:eastAsia="宋体" w:cs="宋体"/>
                <w:color w:val="auto"/>
                <w:kern w:val="2"/>
                <w:sz w:val="21"/>
                <w:szCs w:val="21"/>
                <w:highlight w:val="none"/>
                <w:lang w:val="en-US" w:eastAsia="zh-CN" w:bidi="ar"/>
                <w:woUserID w:val="3"/>
              </w:rPr>
              <w:t>3</w:t>
            </w:r>
            <w:r>
              <w:rPr>
                <w:rFonts w:hint="eastAsia" w:ascii="宋体" w:hAnsi="宋体" w:eastAsia="宋体" w:cs="宋体"/>
                <w:color w:val="auto"/>
                <w:kern w:val="2"/>
                <w:sz w:val="21"/>
                <w:szCs w:val="21"/>
                <w:highlight w:val="none"/>
                <w:lang w:val="en-US" w:eastAsia="zh-CN" w:bidi="ar"/>
                <w:woUserID w:val="3"/>
              </w:rPr>
              <w:t>年</w:t>
            </w:r>
            <w:r>
              <w:rPr>
                <w:rFonts w:hint="default" w:ascii="宋体" w:hAnsi="宋体" w:eastAsia="宋体" w:cs="宋体"/>
                <w:color w:val="auto"/>
                <w:kern w:val="2"/>
                <w:sz w:val="21"/>
                <w:szCs w:val="21"/>
                <w:highlight w:val="none"/>
                <w:lang w:val="en-US" w:eastAsia="zh-CN" w:bidi="ar"/>
                <w:woUserID w:val="3"/>
              </w:rPr>
              <w:t>1</w:t>
            </w:r>
            <w:r>
              <w:rPr>
                <w:rFonts w:hint="eastAsia" w:ascii="宋体" w:hAnsi="宋体" w:eastAsia="宋体" w:cs="宋体"/>
                <w:color w:val="auto"/>
                <w:kern w:val="2"/>
                <w:sz w:val="21"/>
                <w:szCs w:val="21"/>
                <w:highlight w:val="none"/>
                <w:lang w:val="en-US" w:eastAsia="zh-CN" w:bidi="ar"/>
                <w:woUserID w:val="3"/>
              </w:rPr>
              <w:t>月</w:t>
            </w:r>
            <w:r>
              <w:rPr>
                <w:rFonts w:hint="default" w:ascii="宋体" w:hAnsi="宋体" w:eastAsia="宋体" w:cs="宋体"/>
                <w:color w:val="auto"/>
                <w:kern w:val="2"/>
                <w:sz w:val="21"/>
                <w:szCs w:val="21"/>
                <w:highlight w:val="none"/>
                <w:lang w:val="en-US" w:eastAsia="zh-CN" w:bidi="ar"/>
                <w:woUserID w:val="3"/>
              </w:rPr>
              <w:t>1</w:t>
            </w:r>
            <w:r>
              <w:rPr>
                <w:rFonts w:hint="eastAsia" w:ascii="宋体" w:hAnsi="宋体" w:eastAsia="宋体" w:cs="宋体"/>
                <w:color w:val="auto"/>
                <w:kern w:val="2"/>
                <w:sz w:val="21"/>
                <w:szCs w:val="21"/>
                <w:highlight w:val="none"/>
                <w:lang w:val="en-US" w:eastAsia="zh-CN" w:bidi="ar"/>
                <w:woUserID w:val="3"/>
              </w:rPr>
              <w:t>日（以合同签订时间为准）</w:t>
            </w:r>
            <w:r>
              <w:rPr>
                <w:rFonts w:hint="eastAsia" w:ascii="宋体" w:hAnsi="宋体" w:eastAsia="宋体" w:cs="宋体"/>
                <w:color w:val="auto"/>
                <w:kern w:val="2"/>
                <w:sz w:val="21"/>
                <w:szCs w:val="21"/>
                <w:highlight w:val="none"/>
                <w:lang w:val="en-US" w:eastAsia="zh" w:bidi="ar"/>
                <w:woUserID w:val="3"/>
              </w:rPr>
              <w:t>至今，</w:t>
            </w:r>
            <w:r>
              <w:rPr>
                <w:rFonts w:hint="eastAsia" w:ascii="宋体" w:hAnsi="宋体" w:eastAsia="宋体" w:cs="宋体"/>
                <w:color w:val="auto"/>
                <w:kern w:val="2"/>
                <w:sz w:val="21"/>
                <w:szCs w:val="21"/>
                <w:highlight w:val="none"/>
                <w:lang w:val="en-US" w:eastAsia="zh-CN" w:bidi="ar"/>
                <w:woUserID w:val="3"/>
              </w:rPr>
              <w:t>承担过类似项目业绩</w:t>
            </w:r>
            <w:r>
              <w:rPr>
                <w:rFonts w:hint="eastAsia" w:ascii="宋体" w:hAnsi="宋体" w:eastAsia="宋体" w:cs="宋体"/>
                <w:color w:val="auto"/>
                <w:kern w:val="2"/>
                <w:sz w:val="21"/>
                <w:szCs w:val="21"/>
                <w:highlight w:val="none"/>
                <w:lang w:val="en-US" w:eastAsia="zh" w:bidi="ar"/>
                <w:woUserID w:val="3"/>
              </w:rPr>
              <w:t>，</w:t>
            </w:r>
            <w:r>
              <w:rPr>
                <w:rFonts w:hint="eastAsia" w:ascii="宋体" w:hAnsi="宋体" w:eastAsia="宋体" w:cs="宋体"/>
                <w:color w:val="auto"/>
                <w:kern w:val="2"/>
                <w:sz w:val="21"/>
                <w:szCs w:val="21"/>
                <w:highlight w:val="none"/>
                <w:lang w:val="en-US" w:eastAsia="zh-CN" w:bidi="ar"/>
                <w:woUserID w:val="3"/>
              </w:rPr>
              <w:t>每提供一个类似业绩得2分，最多得6分。</w:t>
            </w:r>
          </w:p>
          <w:p w14:paraId="5CF0023F">
            <w:pPr>
              <w:keepNext w:val="0"/>
              <w:keepLines w:val="0"/>
              <w:widowControl/>
              <w:suppressLineNumbers w:val="0"/>
              <w:spacing w:before="0" w:beforeAutospacing="0" w:after="0" w:afterAutospacing="0"/>
              <w:ind w:left="0" w:right="0"/>
              <w:jc w:val="left"/>
              <w:rPr>
                <w:rFonts w:hint="eastAsia" w:hAnsi="宋体"/>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woUserID w:val="3"/>
              </w:rPr>
              <w:t>注：（1）类似业绩</w:t>
            </w:r>
            <w:r>
              <w:rPr>
                <w:rFonts w:hint="eastAsia" w:ascii="宋体" w:hAnsi="宋体" w:eastAsia="宋体" w:cs="宋体"/>
                <w:b/>
                <w:bCs/>
                <w:color w:val="auto"/>
                <w:kern w:val="0"/>
                <w:sz w:val="21"/>
                <w:szCs w:val="21"/>
                <w:highlight w:val="none"/>
                <w:lang w:val="en-US" w:eastAsia="zh" w:bidi="ar"/>
                <w:woUserID w:val="3"/>
              </w:rPr>
              <w:t>是指</w:t>
            </w:r>
            <w:r>
              <w:rPr>
                <w:rFonts w:hint="eastAsia" w:ascii="宋体" w:hAnsi="宋体" w:eastAsia="宋体" w:cs="宋体"/>
                <w:b/>
                <w:bCs/>
                <w:color w:val="auto"/>
                <w:kern w:val="0"/>
                <w:sz w:val="21"/>
                <w:szCs w:val="21"/>
                <w:highlight w:val="none"/>
                <w:lang w:val="en-US" w:eastAsia="zh-CN" w:bidi="ar"/>
                <w:woUserID w:val="3"/>
              </w:rPr>
              <w:t>化合物半导体超净厂房或实验室（相关厂房或实验室含洁净等级百级及以上标准、含毒腐及易燃易爆气体供应）的整体施工（或二次配施工）业绩；（2）企业业绩证明材料须提供合同及与该合同相应的发票，发票至少提供一张（发票开据时间应在本项目公告发布之前）。如合同中无法体现业绩中的评审要素，还须另附业主方（或合同甲方）出具的有效证明材料或相应的结算文件提供工程量清单等方式证明，否则不予认可。</w:t>
            </w:r>
          </w:p>
        </w:tc>
      </w:tr>
      <w:tr w14:paraId="2E9B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5" w:type="dxa"/>
            <w:vMerge w:val="continue"/>
            <w:noWrap w:val="0"/>
            <w:vAlign w:val="center"/>
          </w:tcPr>
          <w:p w14:paraId="4E6DF19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00" w:type="dxa"/>
            <w:vMerge w:val="continue"/>
            <w:noWrap w:val="0"/>
            <w:vAlign w:val="center"/>
          </w:tcPr>
          <w:p w14:paraId="357C0B8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96" w:type="dxa"/>
            <w:gridSpan w:val="2"/>
            <w:noWrap w:val="0"/>
            <w:vAlign w:val="center"/>
          </w:tcPr>
          <w:p w14:paraId="5398117D">
            <w:pPr>
              <w:pStyle w:val="50"/>
              <w:keepNext w:val="0"/>
              <w:keepLines w:val="0"/>
              <w:suppressLineNumbers w:val="0"/>
              <w:spacing w:before="0" w:beforeAutospacing="0" w:after="0" w:afterAutospacing="0"/>
              <w:ind w:left="0" w:right="0"/>
              <w:jc w:val="center"/>
              <w:rPr>
                <w:rFonts w:hint="default" w:hAnsi="宋体"/>
                <w:color w:val="auto"/>
                <w:sz w:val="21"/>
                <w:szCs w:val="21"/>
                <w:highlight w:val="none"/>
              </w:rPr>
            </w:pPr>
            <w:r>
              <w:rPr>
                <w:rFonts w:hint="eastAsia" w:hAnsi="宋体"/>
                <w:color w:val="auto"/>
                <w:sz w:val="21"/>
                <w:szCs w:val="21"/>
                <w:highlight w:val="none"/>
              </w:rPr>
              <w:t>服务承诺</w:t>
            </w:r>
          </w:p>
          <w:p w14:paraId="4DFBEAB5">
            <w:pPr>
              <w:pStyle w:val="50"/>
              <w:keepNext w:val="0"/>
              <w:keepLines w:val="0"/>
              <w:suppressLineNumbers w:val="0"/>
              <w:spacing w:before="0" w:beforeAutospacing="0" w:after="0" w:afterAutospacing="0"/>
              <w:ind w:left="0" w:right="0"/>
              <w:jc w:val="center"/>
              <w:rPr>
                <w:rFonts w:hint="default" w:hAnsi="宋体"/>
                <w:color w:val="auto"/>
                <w:sz w:val="21"/>
                <w:szCs w:val="21"/>
                <w:highlight w:val="none"/>
              </w:rPr>
            </w:pPr>
            <w:r>
              <w:rPr>
                <w:rFonts w:hint="eastAsia" w:hAnsi="宋体"/>
                <w:color w:val="auto"/>
                <w:sz w:val="21"/>
                <w:szCs w:val="21"/>
                <w:highlight w:val="none"/>
              </w:rPr>
              <w:t>（</w:t>
            </w:r>
            <w:r>
              <w:rPr>
                <w:rFonts w:hint="eastAsia" w:hAnsi="宋体"/>
                <w:color w:val="auto"/>
                <w:sz w:val="21"/>
                <w:szCs w:val="21"/>
                <w:highlight w:val="none"/>
                <w:lang w:eastAsia="zh"/>
                <w:woUserID w:val="3"/>
              </w:rPr>
              <w:t>2</w:t>
            </w:r>
            <w:r>
              <w:rPr>
                <w:rFonts w:hint="eastAsia" w:hAnsi="宋体"/>
                <w:color w:val="auto"/>
                <w:sz w:val="21"/>
                <w:szCs w:val="21"/>
                <w:highlight w:val="none"/>
              </w:rPr>
              <w:t>分）</w:t>
            </w:r>
          </w:p>
        </w:tc>
        <w:tc>
          <w:tcPr>
            <w:tcW w:w="4769" w:type="dxa"/>
            <w:noWrap w:val="0"/>
            <w:vAlign w:val="center"/>
          </w:tcPr>
          <w:p w14:paraId="721386E1">
            <w:pPr>
              <w:pStyle w:val="50"/>
              <w:keepNext w:val="0"/>
              <w:keepLines w:val="0"/>
              <w:suppressLineNumbers w:val="0"/>
              <w:spacing w:before="0" w:beforeAutospacing="0" w:after="0" w:afterAutospacing="0"/>
              <w:ind w:left="0" w:right="0"/>
              <w:rPr>
                <w:rFonts w:hint="default"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lang w:eastAsia="zh-CN"/>
              </w:rPr>
              <w:t>供应商</w:t>
            </w:r>
            <w:r>
              <w:rPr>
                <w:rFonts w:hint="eastAsia" w:hAnsi="宋体"/>
                <w:color w:val="auto"/>
                <w:sz w:val="21"/>
                <w:szCs w:val="21"/>
                <w:highlight w:val="none"/>
              </w:rPr>
              <w:t>提供的</w:t>
            </w:r>
            <w:r>
              <w:rPr>
                <w:rFonts w:hint="eastAsia" w:hAnsi="宋体"/>
                <w:color w:val="auto"/>
                <w:sz w:val="21"/>
                <w:szCs w:val="21"/>
                <w:highlight w:val="none"/>
                <w:lang w:eastAsia="zh"/>
                <w:woUserID w:val="3"/>
              </w:rPr>
              <w:t>保修期</w:t>
            </w:r>
            <w:r>
              <w:rPr>
                <w:rFonts w:hint="eastAsia" w:hAnsi="宋体"/>
                <w:color w:val="auto"/>
                <w:sz w:val="21"/>
                <w:szCs w:val="21"/>
                <w:highlight w:val="none"/>
              </w:rPr>
              <w:t>内和</w:t>
            </w:r>
            <w:r>
              <w:rPr>
                <w:rFonts w:hint="eastAsia" w:hAnsi="宋体"/>
                <w:color w:val="auto"/>
                <w:sz w:val="21"/>
                <w:szCs w:val="21"/>
                <w:highlight w:val="none"/>
                <w:lang w:eastAsia="zh"/>
                <w:woUserID w:val="3"/>
              </w:rPr>
              <w:t>保修期</w:t>
            </w:r>
            <w:r>
              <w:rPr>
                <w:rFonts w:hint="eastAsia" w:hAnsi="宋体"/>
                <w:color w:val="auto"/>
                <w:sz w:val="21"/>
                <w:szCs w:val="21"/>
                <w:highlight w:val="none"/>
              </w:rPr>
              <w:t>外的服务承诺及其他实质性服务承诺（包括但不限于与项目相关的关系协调服务、不拖欠农民工工资的承诺及完善的售后服务承诺等）全面、合理、可行；</w:t>
            </w:r>
            <w:r>
              <w:rPr>
                <w:rFonts w:hint="eastAsia" w:hAnsi="宋体"/>
                <w:color w:val="auto"/>
                <w:sz w:val="21"/>
                <w:szCs w:val="21"/>
                <w:highlight w:val="none"/>
                <w:lang w:eastAsia="zh"/>
                <w:woUserID w:val="3"/>
              </w:rPr>
              <w:t>2</w:t>
            </w:r>
            <w:r>
              <w:rPr>
                <w:rFonts w:hint="eastAsia" w:hAnsi="宋体"/>
                <w:color w:val="auto"/>
                <w:sz w:val="21"/>
                <w:szCs w:val="21"/>
                <w:highlight w:val="none"/>
              </w:rPr>
              <w:t>分；</w:t>
            </w:r>
          </w:p>
          <w:p w14:paraId="1B41CD71">
            <w:pPr>
              <w:pStyle w:val="50"/>
              <w:keepNext w:val="0"/>
              <w:keepLines w:val="0"/>
              <w:suppressLineNumbers w:val="0"/>
              <w:spacing w:before="0" w:beforeAutospacing="0" w:after="0" w:afterAutospacing="0"/>
              <w:ind w:left="0" w:right="0"/>
              <w:rPr>
                <w:rFonts w:hint="eastAsia"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eastAsia="zh-CN"/>
              </w:rPr>
              <w:t>供应商</w:t>
            </w:r>
            <w:r>
              <w:rPr>
                <w:rFonts w:hint="eastAsia" w:hAnsi="宋体"/>
                <w:color w:val="auto"/>
                <w:sz w:val="21"/>
                <w:szCs w:val="21"/>
                <w:highlight w:val="none"/>
              </w:rPr>
              <w:t>提供的</w:t>
            </w:r>
            <w:r>
              <w:rPr>
                <w:rFonts w:hint="eastAsia" w:hAnsi="宋体"/>
                <w:color w:val="auto"/>
                <w:sz w:val="21"/>
                <w:szCs w:val="21"/>
                <w:highlight w:val="none"/>
                <w:lang w:eastAsia="zh"/>
                <w:woUserID w:val="3"/>
              </w:rPr>
              <w:t>保修期</w:t>
            </w:r>
            <w:r>
              <w:rPr>
                <w:rFonts w:hint="eastAsia" w:hAnsi="宋体"/>
                <w:color w:val="auto"/>
                <w:sz w:val="21"/>
                <w:szCs w:val="21"/>
                <w:highlight w:val="none"/>
              </w:rPr>
              <w:t>内和</w:t>
            </w:r>
            <w:r>
              <w:rPr>
                <w:rFonts w:hint="eastAsia" w:hAnsi="宋体"/>
                <w:color w:val="auto"/>
                <w:sz w:val="21"/>
                <w:szCs w:val="21"/>
                <w:highlight w:val="none"/>
                <w:lang w:eastAsia="zh"/>
                <w:woUserID w:val="3"/>
              </w:rPr>
              <w:t>保修期</w:t>
            </w:r>
            <w:r>
              <w:rPr>
                <w:rFonts w:hint="eastAsia" w:hAnsi="宋体"/>
                <w:color w:val="auto"/>
                <w:sz w:val="21"/>
                <w:szCs w:val="21"/>
                <w:highlight w:val="none"/>
              </w:rPr>
              <w:t>外的服务承诺及其他实质性服务承诺（包括但不限于与项目相关的关系协调服务、不拖欠农民工工资的承诺及完善的售后服务承诺等）基本合理、基本可行；</w:t>
            </w:r>
            <w:r>
              <w:rPr>
                <w:rFonts w:hint="eastAsia" w:hAnsi="宋体"/>
                <w:color w:val="auto"/>
                <w:sz w:val="21"/>
                <w:szCs w:val="21"/>
                <w:highlight w:val="none"/>
                <w:lang w:eastAsia="zh"/>
                <w:woUserID w:val="2"/>
              </w:rPr>
              <w:t>1</w:t>
            </w:r>
            <w:r>
              <w:rPr>
                <w:rFonts w:hint="eastAsia" w:hAnsi="宋体"/>
                <w:color w:val="auto"/>
                <w:sz w:val="21"/>
                <w:szCs w:val="21"/>
                <w:highlight w:val="none"/>
              </w:rPr>
              <w:t>分；</w:t>
            </w:r>
          </w:p>
          <w:p w14:paraId="1602110F">
            <w:pPr>
              <w:pStyle w:val="50"/>
              <w:keepNext w:val="0"/>
              <w:keepLines w:val="0"/>
              <w:suppressLineNumbers w:val="0"/>
              <w:spacing w:before="0" w:beforeAutospacing="0" w:after="0" w:afterAutospacing="0"/>
              <w:ind w:left="0" w:right="0"/>
              <w:rPr>
                <w:rFonts w:hint="default" w:hAnsi="宋体"/>
                <w:color w:val="auto"/>
                <w:sz w:val="21"/>
                <w:szCs w:val="21"/>
                <w:highlight w:val="none"/>
              </w:rPr>
            </w:pPr>
            <w:r>
              <w:rPr>
                <w:rFonts w:hint="eastAsia" w:ascii="宋体" w:hAnsi="宋体" w:eastAsia="宋体" w:cs="宋体"/>
                <w:color w:val="auto"/>
                <w:kern w:val="2"/>
                <w:sz w:val="21"/>
                <w:szCs w:val="21"/>
                <w:highlight w:val="none"/>
                <w:lang w:eastAsia="zh"/>
                <w:woUserID w:val="3"/>
              </w:rPr>
              <w:t>（3）</w:t>
            </w:r>
            <w:r>
              <w:rPr>
                <w:rFonts w:hint="eastAsia" w:hAnsi="宋体"/>
                <w:color w:val="auto"/>
                <w:sz w:val="21"/>
                <w:szCs w:val="21"/>
                <w:highlight w:val="none"/>
                <w:lang w:eastAsia="zh-CN"/>
                <w:woUserID w:val="3"/>
              </w:rPr>
              <w:t>供应商</w:t>
            </w:r>
            <w:r>
              <w:rPr>
                <w:rFonts w:hint="eastAsia" w:hAnsi="宋体"/>
                <w:color w:val="auto"/>
                <w:sz w:val="21"/>
                <w:szCs w:val="21"/>
                <w:highlight w:val="none"/>
                <w:woUserID w:val="3"/>
              </w:rPr>
              <w:t>提供的</w:t>
            </w:r>
            <w:r>
              <w:rPr>
                <w:rFonts w:hint="eastAsia" w:hAnsi="宋体"/>
                <w:color w:val="auto"/>
                <w:sz w:val="21"/>
                <w:szCs w:val="21"/>
                <w:highlight w:val="none"/>
                <w:lang w:eastAsia="zh"/>
                <w:woUserID w:val="3"/>
              </w:rPr>
              <w:t>保修期</w:t>
            </w:r>
            <w:r>
              <w:rPr>
                <w:rFonts w:hint="eastAsia" w:hAnsi="宋体"/>
                <w:color w:val="auto"/>
                <w:sz w:val="21"/>
                <w:szCs w:val="21"/>
                <w:highlight w:val="none"/>
                <w:woUserID w:val="3"/>
              </w:rPr>
              <w:t>内和</w:t>
            </w:r>
            <w:r>
              <w:rPr>
                <w:rFonts w:hint="eastAsia" w:hAnsi="宋体"/>
                <w:color w:val="auto"/>
                <w:sz w:val="21"/>
                <w:szCs w:val="21"/>
                <w:highlight w:val="none"/>
                <w:lang w:eastAsia="zh"/>
                <w:woUserID w:val="3"/>
              </w:rPr>
              <w:t>保修期</w:t>
            </w:r>
            <w:r>
              <w:rPr>
                <w:rFonts w:hint="eastAsia" w:hAnsi="宋体"/>
                <w:color w:val="auto"/>
                <w:sz w:val="21"/>
                <w:szCs w:val="21"/>
                <w:highlight w:val="none"/>
                <w:woUserID w:val="3"/>
              </w:rPr>
              <w:t>外的服务承诺及其他实质性服务承诺（包括但不限于与项目相关的关系协调服务、不拖欠农民工工资的承诺及完善的售后服务承诺等）</w:t>
            </w:r>
            <w:r>
              <w:rPr>
                <w:rFonts w:hint="eastAsia" w:hAnsi="宋体"/>
                <w:color w:val="auto"/>
                <w:sz w:val="21"/>
                <w:szCs w:val="21"/>
                <w:highlight w:val="none"/>
                <w:lang w:eastAsia="zh"/>
                <w:woUserID w:val="3"/>
              </w:rPr>
              <w:t>内</w:t>
            </w:r>
            <w:r>
              <w:rPr>
                <w:rFonts w:hint="eastAsia" w:ascii="宋体" w:hAnsi="宋体" w:eastAsia="宋体" w:cs="宋体"/>
                <w:color w:val="auto"/>
                <w:kern w:val="2"/>
                <w:sz w:val="21"/>
                <w:szCs w:val="21"/>
                <w:highlight w:val="none"/>
                <w:woUserID w:val="3"/>
              </w:rPr>
              <w:t>容</w:t>
            </w:r>
            <w:r>
              <w:rPr>
                <w:rFonts w:hint="eastAsia" w:ascii="宋体" w:hAnsi="宋体" w:eastAsia="宋体" w:cs="宋体"/>
                <w:color w:val="auto"/>
                <w:kern w:val="0"/>
                <w:sz w:val="21"/>
                <w:szCs w:val="21"/>
                <w:highlight w:val="none"/>
                <w:woUserID w:val="3"/>
              </w:rPr>
              <w:t>笼统简单</w:t>
            </w:r>
            <w:r>
              <w:rPr>
                <w:rFonts w:hint="eastAsia" w:ascii="宋体" w:hAnsi="宋体" w:eastAsia="宋体" w:cs="宋体"/>
                <w:bCs/>
                <w:color w:val="auto"/>
                <w:kern w:val="2"/>
                <w:sz w:val="21"/>
                <w:szCs w:val="21"/>
                <w:highlight w:val="none"/>
                <w:woUserID w:val="3"/>
              </w:rPr>
              <w:t>、</w:t>
            </w:r>
            <w:r>
              <w:rPr>
                <w:rFonts w:hint="eastAsia" w:ascii="宋体" w:hAnsi="宋体" w:eastAsia="宋体" w:cs="宋体"/>
                <w:color w:val="auto"/>
                <w:kern w:val="2"/>
                <w:sz w:val="21"/>
                <w:szCs w:val="21"/>
                <w:highlight w:val="none"/>
                <w:woUserID w:val="3"/>
              </w:rPr>
              <w:t>内容有所缺失，针对性较差</w:t>
            </w:r>
            <w:r>
              <w:rPr>
                <w:rFonts w:hint="eastAsia" w:ascii="宋体" w:hAnsi="宋体" w:eastAsia="宋体" w:cs="宋体"/>
                <w:color w:val="auto"/>
                <w:kern w:val="2"/>
                <w:sz w:val="21"/>
                <w:szCs w:val="21"/>
                <w:highlight w:val="none"/>
                <w:lang w:eastAsia="zh"/>
                <w:woUserID w:val="3"/>
              </w:rPr>
              <w:t>得0.5分；</w:t>
            </w:r>
          </w:p>
          <w:p w14:paraId="136F1389">
            <w:pPr>
              <w:pStyle w:val="50"/>
              <w:keepNext w:val="0"/>
              <w:keepLines w:val="0"/>
              <w:suppressLineNumbers w:val="0"/>
              <w:spacing w:before="0" w:beforeAutospacing="0" w:after="0" w:afterAutospacing="0"/>
              <w:ind w:left="0" w:right="0"/>
              <w:rPr>
                <w:rFonts w:hint="default" w:hAnsi="宋体"/>
                <w:color w:val="auto"/>
                <w:sz w:val="21"/>
                <w:szCs w:val="21"/>
                <w:highlight w:val="none"/>
              </w:rPr>
            </w:pPr>
            <w:r>
              <w:rPr>
                <w:rFonts w:hint="eastAsia" w:hAnsi="宋体"/>
                <w:color w:val="auto"/>
                <w:kern w:val="2"/>
                <w:sz w:val="21"/>
                <w:szCs w:val="21"/>
                <w:highlight w:val="none"/>
              </w:rPr>
              <w:t>没有此项得0分。</w:t>
            </w:r>
          </w:p>
        </w:tc>
      </w:tr>
    </w:tbl>
    <w:p w14:paraId="637111DE">
      <w:pPr>
        <w:spacing w:line="360" w:lineRule="auto"/>
        <w:outlineLvl w:val="1"/>
        <w:rPr>
          <w:rFonts w:ascii="宋体" w:hAnsi="宋体" w:cs="宋体"/>
          <w:color w:val="auto"/>
          <w:szCs w:val="21"/>
          <w:highlight w:val="none"/>
        </w:rPr>
      </w:pPr>
      <w:r>
        <w:rPr>
          <w:rFonts w:hint="eastAsia" w:ascii="宋体" w:hAnsi="宋体" w:cs="宋体"/>
          <w:b/>
          <w:bCs/>
          <w:color w:val="auto"/>
          <w:szCs w:val="21"/>
          <w:highlight w:val="none"/>
        </w:rPr>
        <w:t>1.评审方法</w:t>
      </w:r>
      <w:bookmarkEnd w:id="735"/>
      <w:bookmarkEnd w:id="736"/>
      <w:bookmarkEnd w:id="737"/>
      <w:bookmarkEnd w:id="738"/>
      <w:bookmarkEnd w:id="739"/>
    </w:p>
    <w:p w14:paraId="43F64F5F">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lang w:bidi="en-US"/>
        </w:rPr>
        <w:t>本次评审采用综合评分法。磋商小组对满足磋商文件实质性要求的响应文件</w:t>
      </w:r>
      <w:r>
        <w:rPr>
          <w:rFonts w:hint="eastAsia" w:ascii="宋体" w:hAnsi="宋体" w:cs="宋体"/>
          <w:color w:val="auto"/>
          <w:szCs w:val="21"/>
          <w:highlight w:val="none"/>
        </w:rPr>
        <w:t>，按照本章规定的评分标准进行打分，并按得分由高到低顺序推荐成交候选人，</w:t>
      </w:r>
      <w:r>
        <w:rPr>
          <w:rFonts w:hint="eastAsia" w:ascii="宋体" w:hAnsi="宋体" w:cs="宋体"/>
          <w:color w:val="auto"/>
          <w:kern w:val="0"/>
          <w:szCs w:val="21"/>
          <w:highlight w:val="none"/>
        </w:rPr>
        <w:t>综合评分相等时，以报价得分高的优先；报价得分也相等的，由采购人自行确定。</w:t>
      </w:r>
    </w:p>
    <w:p w14:paraId="04AF9622">
      <w:pPr>
        <w:spacing w:line="360" w:lineRule="auto"/>
        <w:outlineLvl w:val="1"/>
        <w:rPr>
          <w:rFonts w:ascii="宋体" w:hAnsi="宋体" w:cs="宋体"/>
          <w:b/>
          <w:bCs/>
          <w:color w:val="auto"/>
          <w:szCs w:val="21"/>
          <w:highlight w:val="none"/>
        </w:rPr>
      </w:pPr>
      <w:bookmarkStart w:id="740" w:name="_Toc281405529"/>
      <w:bookmarkStart w:id="741" w:name="_Toc490667876"/>
      <w:bookmarkStart w:id="742" w:name="_Toc455080157"/>
      <w:bookmarkStart w:id="743" w:name="_Toc455867817"/>
      <w:bookmarkStart w:id="744" w:name="_Toc24936"/>
      <w:bookmarkStart w:id="745" w:name="_Toc466298140"/>
      <w:bookmarkStart w:id="746" w:name="_Toc152042378"/>
      <w:bookmarkStart w:id="747" w:name="_Toc318450723"/>
      <w:bookmarkStart w:id="748" w:name="_Toc26131"/>
      <w:bookmarkStart w:id="749" w:name="_Toc152045601"/>
      <w:bookmarkStart w:id="750" w:name="_Toc144974568"/>
      <w:bookmarkStart w:id="751" w:name="_Toc20837"/>
      <w:bookmarkStart w:id="752" w:name="_Toc6612"/>
      <w:r>
        <w:rPr>
          <w:rFonts w:hint="eastAsia" w:ascii="宋体" w:hAnsi="宋体" w:cs="宋体"/>
          <w:b/>
          <w:bCs/>
          <w:color w:val="auto"/>
          <w:szCs w:val="21"/>
          <w:highlight w:val="none"/>
        </w:rPr>
        <w:t>2.评审标准</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6C363C7F">
      <w:pPr>
        <w:spacing w:line="360" w:lineRule="auto"/>
        <w:outlineLvl w:val="2"/>
        <w:rPr>
          <w:rFonts w:ascii="宋体" w:hAnsi="宋体" w:cs="宋体"/>
          <w:b/>
          <w:bCs/>
          <w:color w:val="auto"/>
          <w:highlight w:val="none"/>
        </w:rPr>
      </w:pPr>
      <w:bookmarkStart w:id="753" w:name="_Toc11223"/>
      <w:bookmarkStart w:id="754" w:name="_Toc490667877"/>
      <w:bookmarkStart w:id="755" w:name="_Toc281405530"/>
      <w:bookmarkStart w:id="756" w:name="_Toc15813"/>
      <w:bookmarkStart w:id="757" w:name="_Toc19934"/>
      <w:bookmarkStart w:id="758" w:name="_Toc21120"/>
      <w:bookmarkStart w:id="759" w:name="_Toc152045602"/>
      <w:bookmarkStart w:id="760" w:name="_Toc25637"/>
      <w:bookmarkStart w:id="761" w:name="_Toc466298141"/>
      <w:bookmarkStart w:id="762" w:name="_Toc144974569"/>
      <w:bookmarkStart w:id="763" w:name="_Toc31037"/>
      <w:bookmarkStart w:id="764" w:name="_Toc152042379"/>
      <w:bookmarkStart w:id="765" w:name="_Toc318450724"/>
      <w:bookmarkStart w:id="766" w:name="_Toc6711"/>
      <w:bookmarkStart w:id="767" w:name="_Toc455080158"/>
      <w:bookmarkStart w:id="768" w:name="_Toc455867818"/>
      <w:bookmarkStart w:id="769" w:name="_Toc24558"/>
      <w:r>
        <w:rPr>
          <w:rFonts w:hint="eastAsia" w:ascii="宋体" w:hAnsi="宋体" w:cs="宋体"/>
          <w:b/>
          <w:bCs/>
          <w:color w:val="auto"/>
          <w:highlight w:val="none"/>
        </w:rPr>
        <w:t>2.1初步评审标准</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0E5A37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2.1.1形式检查评审标准：见评审办法前附表。</w:t>
      </w:r>
    </w:p>
    <w:p w14:paraId="5E238F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2.1.2资格性检查评审标准：见评审办法前附表。</w:t>
      </w:r>
    </w:p>
    <w:p w14:paraId="32856E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2.1.3符合性检查评审标准：见评审办法前附表。</w:t>
      </w:r>
    </w:p>
    <w:p w14:paraId="6FA727E9">
      <w:pPr>
        <w:spacing w:line="360" w:lineRule="auto"/>
        <w:outlineLvl w:val="2"/>
        <w:rPr>
          <w:rFonts w:ascii="宋体" w:hAnsi="宋体" w:cs="宋体"/>
          <w:b/>
          <w:bCs/>
          <w:color w:val="auto"/>
          <w:highlight w:val="none"/>
        </w:rPr>
      </w:pPr>
      <w:bookmarkStart w:id="770" w:name="_Toc144974570"/>
      <w:bookmarkStart w:id="771" w:name="_Toc11061"/>
      <w:bookmarkStart w:id="772" w:name="_Toc466298142"/>
      <w:bookmarkStart w:id="773" w:name="_Toc30189"/>
      <w:bookmarkStart w:id="774" w:name="_Toc455080159"/>
      <w:bookmarkStart w:id="775" w:name="_Toc25492"/>
      <w:bookmarkStart w:id="776" w:name="_Toc455867819"/>
      <w:bookmarkStart w:id="777" w:name="_Toc152045603"/>
      <w:bookmarkStart w:id="778" w:name="_Toc490667878"/>
      <w:bookmarkStart w:id="779" w:name="_Toc152042380"/>
      <w:bookmarkStart w:id="780" w:name="_Toc7284"/>
      <w:bookmarkStart w:id="781" w:name="_Toc318450725"/>
      <w:bookmarkStart w:id="782" w:name="_Toc21970"/>
      <w:bookmarkStart w:id="783" w:name="_Toc24825"/>
      <w:bookmarkStart w:id="784" w:name="_Toc22439"/>
      <w:bookmarkStart w:id="785" w:name="_Toc12013"/>
      <w:bookmarkStart w:id="786" w:name="_Toc281405531"/>
      <w:r>
        <w:rPr>
          <w:rFonts w:hint="eastAsia" w:ascii="宋体" w:hAnsi="宋体" w:cs="宋体"/>
          <w:b/>
          <w:bCs/>
          <w:color w:val="auto"/>
          <w:highlight w:val="none"/>
        </w:rPr>
        <w:t>2.2分值构成与评分标准</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23AD8F7D">
      <w:pPr>
        <w:spacing w:line="360" w:lineRule="auto"/>
        <w:ind w:firstLine="420" w:firstLineChars="200"/>
        <w:rPr>
          <w:rFonts w:ascii="宋体" w:hAnsi="宋体" w:cs="宋体"/>
          <w:color w:val="auto"/>
          <w:szCs w:val="21"/>
          <w:highlight w:val="none"/>
        </w:rPr>
      </w:pPr>
      <w:bookmarkStart w:id="787" w:name="_Toc16479"/>
      <w:bookmarkStart w:id="788" w:name="_Toc455867820"/>
      <w:bookmarkStart w:id="789" w:name="_Toc490667879"/>
      <w:bookmarkStart w:id="790" w:name="_Toc455080160"/>
      <w:bookmarkStart w:id="791" w:name="_Toc318450726"/>
      <w:bookmarkStart w:id="792" w:name="_Toc466298143"/>
      <w:bookmarkStart w:id="793" w:name="_Toc281405532"/>
      <w:bookmarkStart w:id="794" w:name="_Toc17308"/>
      <w:bookmarkStart w:id="795" w:name="_Toc29297"/>
      <w:bookmarkStart w:id="796" w:name="_Toc32314"/>
      <w:r>
        <w:rPr>
          <w:rFonts w:hint="eastAsia" w:ascii="宋体" w:hAnsi="宋体" w:cs="宋体"/>
          <w:color w:val="auto"/>
          <w:szCs w:val="21"/>
          <w:highlight w:val="none"/>
        </w:rPr>
        <w:t>（1）报价部分：见评审办法前附表。</w:t>
      </w:r>
    </w:p>
    <w:p w14:paraId="2C0FA4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（2）技术部分：见评审办法前附表。</w:t>
      </w:r>
    </w:p>
    <w:p w14:paraId="2A16A5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（3）综合部分：见评审办法前附表。</w:t>
      </w:r>
    </w:p>
    <w:p w14:paraId="0F713D37">
      <w:pPr>
        <w:spacing w:line="360" w:lineRule="auto"/>
        <w:outlineLvl w:val="1"/>
        <w:rPr>
          <w:rFonts w:ascii="宋体" w:hAnsi="宋体" w:cs="宋体"/>
          <w:b/>
          <w:bCs/>
          <w:color w:val="auto"/>
          <w:szCs w:val="21"/>
          <w:highlight w:val="none"/>
        </w:rPr>
      </w:pPr>
      <w:r>
        <w:rPr>
          <w:rFonts w:hint="eastAsia" w:ascii="宋体" w:hAnsi="宋体" w:cs="宋体"/>
          <w:b/>
          <w:bCs/>
          <w:color w:val="auto"/>
          <w:szCs w:val="21"/>
          <w:highlight w:val="none"/>
        </w:rPr>
        <w:t>3.评审程序</w:t>
      </w:r>
      <w:bookmarkEnd w:id="787"/>
      <w:bookmarkEnd w:id="788"/>
      <w:bookmarkEnd w:id="789"/>
      <w:bookmarkEnd w:id="790"/>
      <w:bookmarkEnd w:id="791"/>
      <w:bookmarkEnd w:id="792"/>
      <w:bookmarkEnd w:id="793"/>
      <w:bookmarkEnd w:id="794"/>
      <w:bookmarkEnd w:id="795"/>
      <w:bookmarkEnd w:id="796"/>
    </w:p>
    <w:p w14:paraId="2F74CD9E">
      <w:pPr>
        <w:spacing w:line="360" w:lineRule="auto"/>
        <w:outlineLvl w:val="2"/>
        <w:rPr>
          <w:rFonts w:ascii="宋体" w:hAnsi="宋体" w:cs="宋体"/>
          <w:b/>
          <w:bCs/>
          <w:color w:val="auto"/>
          <w:highlight w:val="none"/>
        </w:rPr>
      </w:pPr>
      <w:bookmarkStart w:id="797" w:name="_Toc9433"/>
      <w:bookmarkStart w:id="798" w:name="_Toc281405533"/>
      <w:bookmarkStart w:id="799" w:name="_Toc466298144"/>
      <w:bookmarkStart w:id="800" w:name="_Toc455080161"/>
      <w:bookmarkStart w:id="801" w:name="_Toc16892"/>
      <w:bookmarkStart w:id="802" w:name="_Toc30986"/>
      <w:bookmarkStart w:id="803" w:name="_Toc29614"/>
      <w:bookmarkStart w:id="804" w:name="_Toc18886"/>
      <w:bookmarkStart w:id="805" w:name="_Toc5427"/>
      <w:bookmarkStart w:id="806" w:name="_Toc318450727"/>
      <w:bookmarkStart w:id="807" w:name="_Toc14633"/>
      <w:bookmarkStart w:id="808" w:name="_Toc2410"/>
      <w:bookmarkStart w:id="809" w:name="_Toc455867821"/>
      <w:bookmarkStart w:id="810" w:name="_Toc490667880"/>
      <w:bookmarkStart w:id="811" w:name="_Toc7272"/>
      <w:r>
        <w:rPr>
          <w:rFonts w:hint="eastAsia" w:ascii="宋体" w:hAnsi="宋体" w:cs="宋体"/>
          <w:b/>
          <w:bCs/>
          <w:color w:val="auto"/>
          <w:highlight w:val="none"/>
        </w:rPr>
        <w:t>3.1 初步评审</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77A33C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 磋商小组依据本章第2.1款规定的标准对响应文件进行初步评审。有一项不符合评审标准的，作废标处理。</w:t>
      </w:r>
    </w:p>
    <w:p w14:paraId="4E584095">
      <w:pPr>
        <w:spacing w:line="360" w:lineRule="auto"/>
        <w:ind w:firstLine="420" w:firstLineChars="200"/>
        <w:rPr>
          <w:rFonts w:ascii="宋体" w:hAnsi="宋体" w:cs="宋体"/>
          <w:color w:val="auto"/>
          <w:szCs w:val="21"/>
          <w:highlight w:val="none"/>
        </w:rPr>
      </w:pPr>
      <w:bookmarkStart w:id="812" w:name="_Toc11112"/>
      <w:bookmarkStart w:id="813" w:name="_Toc17241"/>
      <w:bookmarkStart w:id="814" w:name="_Toc31824"/>
      <w:bookmarkStart w:id="815" w:name="_Toc27749"/>
      <w:bookmarkStart w:id="816" w:name="_Toc10261"/>
      <w:bookmarkStart w:id="817" w:name="_Toc15924"/>
      <w:bookmarkStart w:id="818" w:name="_Toc7781"/>
      <w:bookmarkStart w:id="819" w:name="_Toc31757"/>
      <w:bookmarkStart w:id="820" w:name="_Toc5784"/>
      <w:bookmarkStart w:id="821" w:name="_Toc4490"/>
      <w:bookmarkStart w:id="822" w:name="_Toc256519742"/>
      <w:bookmarkStart w:id="823" w:name="_Toc30688"/>
      <w:bookmarkStart w:id="824" w:name="_Toc17449"/>
      <w:bookmarkStart w:id="825" w:name="_Toc18727"/>
      <w:bookmarkStart w:id="826" w:name="_Toc7854"/>
      <w:r>
        <w:rPr>
          <w:rFonts w:hint="eastAsia" w:ascii="宋体" w:hAnsi="宋体" w:cs="宋体"/>
          <w:color w:val="auto"/>
          <w:szCs w:val="21"/>
          <w:highlight w:val="none"/>
        </w:rPr>
        <w:t>3.1.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报价有算术错误的，</w:t>
      </w:r>
      <w:r>
        <w:rPr>
          <w:rFonts w:hint="eastAsia" w:ascii="宋体" w:hAnsi="宋体" w:cs="宋体"/>
          <w:color w:val="auto"/>
          <w:szCs w:val="21"/>
          <w:highlight w:val="none"/>
          <w:lang w:eastAsia="zh-CN"/>
        </w:rPr>
        <w:t>竞争性磋商小组</w:t>
      </w:r>
      <w:r>
        <w:rPr>
          <w:rFonts w:hint="eastAsia" w:ascii="宋体" w:hAnsi="宋体" w:cs="宋体"/>
          <w:color w:val="auto"/>
          <w:szCs w:val="21"/>
          <w:highlight w:val="none"/>
        </w:rPr>
        <w:t>会按以下原则对</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报价进行修正，修正的价格经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书面确认后具有约束力。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不接受修正价格的，其</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作无效标处理。</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1D8F26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中的大写金额与小写金额不一致的，以大写金额为准；</w:t>
      </w:r>
    </w:p>
    <w:p w14:paraId="69BDBF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53C20E07">
      <w:pPr>
        <w:spacing w:line="360" w:lineRule="auto"/>
        <w:outlineLvl w:val="2"/>
        <w:rPr>
          <w:rFonts w:ascii="宋体" w:hAnsi="宋体" w:cs="宋体"/>
          <w:b/>
          <w:bCs/>
          <w:color w:val="auto"/>
          <w:highlight w:val="none"/>
        </w:rPr>
      </w:pPr>
      <w:bookmarkStart w:id="827" w:name="_Toc318450728"/>
      <w:bookmarkStart w:id="828" w:name="_Toc455080162"/>
      <w:bookmarkStart w:id="829" w:name="_Toc22101"/>
      <w:bookmarkStart w:id="830" w:name="_Toc12406"/>
      <w:bookmarkStart w:id="831" w:name="_Toc455867822"/>
      <w:bookmarkStart w:id="832" w:name="_Toc21032"/>
      <w:bookmarkStart w:id="833" w:name="_Toc466298145"/>
      <w:bookmarkStart w:id="834" w:name="_Toc13386"/>
      <w:bookmarkStart w:id="835" w:name="_Toc26049"/>
      <w:bookmarkStart w:id="836" w:name="_Toc10692"/>
      <w:bookmarkStart w:id="837" w:name="_Toc7121"/>
      <w:bookmarkStart w:id="838" w:name="_Toc21570"/>
      <w:bookmarkStart w:id="839" w:name="_Toc281405534"/>
      <w:bookmarkStart w:id="840" w:name="_Toc16964"/>
      <w:bookmarkStart w:id="841" w:name="_Toc490667881"/>
      <w:r>
        <w:rPr>
          <w:rFonts w:hint="eastAsia" w:ascii="宋体" w:hAnsi="宋体" w:cs="宋体"/>
          <w:b/>
          <w:bCs/>
          <w:color w:val="auto"/>
          <w:highlight w:val="none"/>
        </w:rPr>
        <w:t>3.2 详细评审</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17C2FC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 磋商小组按本章第2.2款规定的量化因素和分值进行打分，并计算出综合评分得分。</w:t>
      </w:r>
    </w:p>
    <w:p w14:paraId="11492B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 评分分值计算保留小数点后两位，小数点后第三位“四舍五入”。</w:t>
      </w:r>
    </w:p>
    <w:p w14:paraId="4A592E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的最终得分以全部小组成员打分的算术平均值为准，作为该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的最终得分。</w:t>
      </w:r>
    </w:p>
    <w:p w14:paraId="61527D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3.2.4在磋商过程中，凡遇到磋商文件中无界定或界定不清、前后不一致使磋商小组意见有分歧且又难以协商一致的问题，均由磋商小组予以表决，获半数以上同意的即为通过，未获半数同意的即为否决。</w:t>
      </w:r>
    </w:p>
    <w:p w14:paraId="14169003">
      <w:pPr>
        <w:spacing w:line="360" w:lineRule="auto"/>
        <w:outlineLvl w:val="2"/>
        <w:rPr>
          <w:rFonts w:ascii="宋体" w:hAnsi="宋体" w:cs="宋体"/>
          <w:b/>
          <w:bCs/>
          <w:color w:val="auto"/>
          <w:highlight w:val="none"/>
        </w:rPr>
      </w:pPr>
      <w:bookmarkStart w:id="842" w:name="_Toc455080163"/>
      <w:bookmarkStart w:id="843" w:name="_Toc490667882"/>
      <w:bookmarkStart w:id="844" w:name="_Toc8342"/>
      <w:bookmarkStart w:id="845" w:name="_Toc24862"/>
      <w:bookmarkStart w:id="846" w:name="_Toc12374"/>
      <w:bookmarkStart w:id="847" w:name="_Toc466298146"/>
      <w:bookmarkStart w:id="848" w:name="_Toc11958"/>
      <w:bookmarkStart w:id="849" w:name="_Toc318450729"/>
      <w:bookmarkStart w:id="850" w:name="_Toc10153"/>
      <w:bookmarkStart w:id="851" w:name="_Toc8813"/>
      <w:bookmarkStart w:id="852" w:name="_Toc2657"/>
      <w:bookmarkStart w:id="853" w:name="_Toc455867823"/>
      <w:bookmarkStart w:id="854" w:name="_Toc281405535"/>
      <w:bookmarkStart w:id="855" w:name="_Toc331"/>
      <w:bookmarkStart w:id="856" w:name="_Toc28633"/>
      <w:r>
        <w:rPr>
          <w:rFonts w:hint="eastAsia" w:ascii="宋体" w:hAnsi="宋体" w:cs="宋体"/>
          <w:b/>
          <w:bCs/>
          <w:color w:val="auto"/>
          <w:highlight w:val="none"/>
        </w:rPr>
        <w:t>3.3 响应文件的澄清和补正</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411ECB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3.3.1在磋商过程中，磋商小组可以书面形式要求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对所提交的响应文件中不明确的内容进行书面澄清或说明，或者对细微偏离进行补正。磋商小组不接受</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主动提出的澄清、说明或补正。</w:t>
      </w:r>
    </w:p>
    <w:p w14:paraId="744ACB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 澄清、说明和补正不得超出响应文件的范围或者改变响应文件的实质性内容（算术性错误修正的除外）。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的书面澄清、说明和补正属于响应文件的组成部分。</w:t>
      </w:r>
    </w:p>
    <w:p w14:paraId="723F03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3.3.3 磋商小组对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进一步澄清、说明或补正，直至满足磋商小组的要求。</w:t>
      </w:r>
    </w:p>
    <w:p w14:paraId="0D0A8FD1">
      <w:pPr>
        <w:spacing w:line="360" w:lineRule="auto"/>
        <w:outlineLvl w:val="2"/>
        <w:rPr>
          <w:rFonts w:hint="eastAsia" w:ascii="宋体" w:hAnsi="宋体" w:cs="宋体"/>
          <w:b/>
          <w:bCs/>
          <w:color w:val="auto"/>
          <w:highlight w:val="none"/>
        </w:rPr>
      </w:pPr>
      <w:bookmarkStart w:id="857" w:name="_Toc490667883"/>
      <w:bookmarkStart w:id="858" w:name="_Toc22049"/>
      <w:bookmarkStart w:id="859" w:name="_Toc1857"/>
      <w:bookmarkStart w:id="860" w:name="_Toc32183"/>
      <w:bookmarkStart w:id="861" w:name="_Toc22986"/>
      <w:bookmarkStart w:id="862" w:name="_Toc22682"/>
      <w:bookmarkStart w:id="863" w:name="_Toc455867824"/>
      <w:bookmarkStart w:id="864" w:name="_Toc281405536"/>
      <w:bookmarkStart w:id="865" w:name="_Toc19453"/>
      <w:bookmarkStart w:id="866" w:name="_Toc318450730"/>
      <w:bookmarkStart w:id="867" w:name="_Toc30053"/>
      <w:bookmarkStart w:id="868" w:name="_Toc26894"/>
      <w:bookmarkStart w:id="869" w:name="_Toc455080164"/>
      <w:bookmarkStart w:id="870" w:name="_Toc466298147"/>
      <w:bookmarkStart w:id="871" w:name="_Toc5903"/>
      <w:r>
        <w:rPr>
          <w:rFonts w:hint="eastAsia" w:ascii="宋体" w:hAnsi="宋体" w:cs="宋体"/>
          <w:b/>
          <w:bCs/>
          <w:color w:val="auto"/>
          <w:highlight w:val="none"/>
        </w:rPr>
        <w:t>3.4 评审结果</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23F277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3.4.1除第二章“</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须知”前附表授权直接确定成交人外，磋商小组按照得分由高到低的顺序推荐成交候选人。</w:t>
      </w:r>
    </w:p>
    <w:p w14:paraId="396BBB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3.4.2 磋商小组完成评审后，应当向采购人提交书面评审报告。</w:t>
      </w:r>
    </w:p>
    <w:p w14:paraId="277950AC">
      <w:pPr>
        <w:pStyle w:val="2"/>
        <w:numPr>
          <w:ilvl w:val="0"/>
          <w:numId w:val="0"/>
        </w:numPr>
        <w:spacing w:before="120" w:after="120" w:line="360" w:lineRule="auto"/>
        <w:jc w:val="center"/>
        <w:rPr>
          <w:rFonts w:ascii="宋体" w:hAnsi="宋体" w:cs="宋体"/>
          <w:color w:val="auto"/>
          <w:highlight w:val="none"/>
        </w:rPr>
      </w:pPr>
      <w:bookmarkStart w:id="872" w:name="_Toc152045609"/>
      <w:bookmarkStart w:id="873" w:name="_Toc144974577"/>
      <w:bookmarkStart w:id="874" w:name="_Toc152042387"/>
      <w:r>
        <w:rPr>
          <w:rFonts w:hint="eastAsia" w:ascii="宋体" w:hAnsi="宋体" w:cs="宋体"/>
          <w:bCs w:val="0"/>
          <w:color w:val="auto"/>
          <w:highlight w:val="none"/>
        </w:rPr>
        <w:br w:type="page"/>
      </w:r>
      <w:bookmarkStart w:id="875" w:name="_Toc25235"/>
      <w:bookmarkStart w:id="876" w:name="_Toc31449"/>
      <w:bookmarkStart w:id="877" w:name="_Toc17335"/>
      <w:r>
        <w:rPr>
          <w:rFonts w:hint="eastAsia" w:ascii="宋体" w:hAnsi="宋体" w:cs="宋体"/>
          <w:color w:val="auto"/>
          <w:sz w:val="40"/>
          <w:szCs w:val="52"/>
          <w:highlight w:val="none"/>
        </w:rPr>
        <w:t xml:space="preserve">第四章 </w:t>
      </w:r>
      <w:bookmarkEnd w:id="872"/>
      <w:bookmarkEnd w:id="873"/>
      <w:bookmarkEnd w:id="874"/>
      <w:r>
        <w:rPr>
          <w:rFonts w:hint="eastAsia" w:ascii="宋体" w:hAnsi="宋体" w:cs="宋体"/>
          <w:color w:val="auto"/>
          <w:sz w:val="40"/>
          <w:szCs w:val="52"/>
          <w:highlight w:val="none"/>
        </w:rPr>
        <w:t>合同条款及格式</w:t>
      </w:r>
      <w:bookmarkEnd w:id="875"/>
      <w:bookmarkEnd w:id="876"/>
      <w:bookmarkEnd w:id="877"/>
    </w:p>
    <w:p w14:paraId="636D1141">
      <w:pPr>
        <w:spacing w:line="360" w:lineRule="auto"/>
        <w:ind w:firstLine="482" w:firstLineChars="200"/>
        <w:jc w:val="center"/>
        <w:rPr>
          <w:rFonts w:ascii="宋体" w:hAnsi="宋体" w:cs="宋体"/>
          <w:b/>
          <w:bCs/>
          <w:color w:val="auto"/>
          <w:sz w:val="24"/>
          <w:highlight w:val="none"/>
        </w:rPr>
      </w:pPr>
      <w:bookmarkStart w:id="878" w:name="_Toc144974855"/>
      <w:bookmarkStart w:id="879" w:name="_Toc152045786"/>
      <w:bookmarkStart w:id="880" w:name="_Toc152042575"/>
      <w:r>
        <w:rPr>
          <w:rFonts w:hint="eastAsia" w:ascii="宋体" w:hAnsi="宋体" w:cs="宋体"/>
          <w:b/>
          <w:bCs/>
          <w:color w:val="auto"/>
          <w:sz w:val="24"/>
          <w:highlight w:val="none"/>
        </w:rPr>
        <w:t>（合同具体内容以最终签订为准）</w:t>
      </w:r>
    </w:p>
    <w:p w14:paraId="0A56175F">
      <w:pPr>
        <w:jc w:val="right"/>
        <w:rPr>
          <w:rFonts w:hint="eastAsia" w:ascii="仿宋_GB2312" w:hAnsi="仿宋_GB2312" w:eastAsia="仿宋_GB2312" w:cs="仿宋_GB2312"/>
          <w:color w:val="auto"/>
          <w:sz w:val="32"/>
          <w:szCs w:val="32"/>
          <w:highlight w:val="none"/>
        </w:rPr>
      </w:pPr>
    </w:p>
    <w:p w14:paraId="5E6AFF95">
      <w:pPr>
        <w:spacing w:before="138" w:line="413" w:lineRule="exact"/>
        <w:ind w:left="6267"/>
        <w:rPr>
          <w:rFonts w:ascii="宋体" w:hAnsi="宋体" w:cs="宋体"/>
          <w:color w:val="auto"/>
          <w:sz w:val="31"/>
          <w:szCs w:val="31"/>
          <w:highlight w:val="none"/>
        </w:rPr>
      </w:pPr>
      <w:r>
        <w:rPr>
          <w:rFonts w:ascii="宋体" w:hAnsi="宋体" w:cs="宋体"/>
          <w:b/>
          <w:bCs/>
          <w:color w:val="auto"/>
          <w:position w:val="1"/>
          <w:sz w:val="31"/>
          <w:szCs w:val="31"/>
          <w:highlight w:val="none"/>
        </w:rPr>
        <w:t>GF</w:t>
      </w:r>
      <w:r>
        <w:rPr>
          <w:rFonts w:ascii="宋体" w:hAnsi="宋体" w:cs="宋体"/>
          <w:b/>
          <w:bCs/>
          <w:color w:val="auto"/>
          <w:spacing w:val="2"/>
          <w:position w:val="1"/>
          <w:sz w:val="31"/>
          <w:szCs w:val="31"/>
          <w:highlight w:val="none"/>
        </w:rPr>
        <w:t>-2020-0216</w:t>
      </w:r>
    </w:p>
    <w:p w14:paraId="5CDBEA7F">
      <w:pPr>
        <w:pStyle w:val="10"/>
        <w:spacing w:line="259" w:lineRule="auto"/>
        <w:rPr>
          <w:color w:val="auto"/>
          <w:highlight w:val="none"/>
        </w:rPr>
      </w:pPr>
    </w:p>
    <w:p w14:paraId="5ABCF677">
      <w:pPr>
        <w:spacing w:before="179" w:line="223" w:lineRule="auto"/>
        <w:ind w:left="1206"/>
        <w:rPr>
          <w:rFonts w:ascii="宋体" w:hAnsi="宋体" w:cs="宋体"/>
          <w:color w:val="auto"/>
          <w:sz w:val="55"/>
          <w:szCs w:val="55"/>
          <w:highlight w:val="none"/>
        </w:rPr>
      </w:pPr>
      <w:r>
        <w:rPr>
          <w:rFonts w:ascii="宋体" w:hAnsi="宋体" w:cs="宋体"/>
          <w:b/>
          <w:bCs/>
          <w:color w:val="auto"/>
          <w:spacing w:val="3"/>
          <w:sz w:val="55"/>
          <w:szCs w:val="55"/>
          <w:highlight w:val="none"/>
        </w:rPr>
        <w:t>建设项目工程总承包合同</w:t>
      </w:r>
    </w:p>
    <w:p w14:paraId="65B8D4A5">
      <w:pPr>
        <w:pStyle w:val="10"/>
        <w:spacing w:line="246" w:lineRule="auto"/>
        <w:rPr>
          <w:color w:val="auto"/>
          <w:highlight w:val="none"/>
        </w:rPr>
      </w:pPr>
    </w:p>
    <w:p w14:paraId="0958164F">
      <w:pPr>
        <w:pStyle w:val="10"/>
        <w:spacing w:line="246" w:lineRule="auto"/>
        <w:rPr>
          <w:color w:val="auto"/>
          <w:highlight w:val="none"/>
        </w:rPr>
      </w:pPr>
    </w:p>
    <w:p w14:paraId="0BE9C1A6">
      <w:pPr>
        <w:pStyle w:val="10"/>
        <w:spacing w:line="246" w:lineRule="auto"/>
        <w:rPr>
          <w:color w:val="auto"/>
          <w:highlight w:val="none"/>
        </w:rPr>
      </w:pPr>
    </w:p>
    <w:p w14:paraId="47D3C6D9">
      <w:pPr>
        <w:pStyle w:val="10"/>
        <w:spacing w:line="246" w:lineRule="auto"/>
        <w:rPr>
          <w:color w:val="auto"/>
          <w:highlight w:val="none"/>
        </w:rPr>
      </w:pPr>
    </w:p>
    <w:p w14:paraId="2CA304AE">
      <w:pPr>
        <w:pStyle w:val="10"/>
        <w:spacing w:line="246" w:lineRule="auto"/>
        <w:rPr>
          <w:color w:val="auto"/>
          <w:highlight w:val="none"/>
        </w:rPr>
      </w:pPr>
    </w:p>
    <w:p w14:paraId="0D42A74F">
      <w:pPr>
        <w:pStyle w:val="10"/>
        <w:spacing w:line="246" w:lineRule="auto"/>
        <w:rPr>
          <w:color w:val="auto"/>
          <w:highlight w:val="none"/>
        </w:rPr>
      </w:pPr>
    </w:p>
    <w:p w14:paraId="4F749A1B">
      <w:pPr>
        <w:pStyle w:val="10"/>
        <w:spacing w:line="246" w:lineRule="auto"/>
        <w:rPr>
          <w:color w:val="auto"/>
          <w:highlight w:val="none"/>
        </w:rPr>
      </w:pPr>
    </w:p>
    <w:p w14:paraId="0682FF4E">
      <w:pPr>
        <w:pStyle w:val="10"/>
        <w:spacing w:line="246" w:lineRule="auto"/>
        <w:rPr>
          <w:color w:val="auto"/>
          <w:highlight w:val="none"/>
        </w:rPr>
      </w:pPr>
    </w:p>
    <w:p w14:paraId="27CA8334">
      <w:pPr>
        <w:pStyle w:val="10"/>
        <w:spacing w:line="246" w:lineRule="auto"/>
        <w:rPr>
          <w:rFonts w:hint="eastAsia"/>
          <w:color w:val="auto"/>
          <w:highlight w:val="none"/>
        </w:rPr>
      </w:pPr>
    </w:p>
    <w:p w14:paraId="7940BDFD">
      <w:pPr>
        <w:rPr>
          <w:rFonts w:hint="eastAsia"/>
          <w:color w:val="auto"/>
          <w:highlight w:val="none"/>
        </w:rPr>
      </w:pPr>
    </w:p>
    <w:p w14:paraId="0D65EF62">
      <w:pPr>
        <w:rPr>
          <w:rFonts w:hint="eastAsia"/>
          <w:color w:val="auto"/>
          <w:highlight w:val="none"/>
        </w:rPr>
      </w:pPr>
    </w:p>
    <w:p w14:paraId="2CD97AE7">
      <w:pPr>
        <w:rPr>
          <w:rFonts w:hint="eastAsia"/>
          <w:color w:val="auto"/>
          <w:highlight w:val="none"/>
        </w:rPr>
      </w:pPr>
    </w:p>
    <w:p w14:paraId="23316CA9">
      <w:pPr>
        <w:rPr>
          <w:rFonts w:hint="eastAsia"/>
          <w:color w:val="auto"/>
          <w:highlight w:val="none"/>
        </w:rPr>
      </w:pPr>
    </w:p>
    <w:p w14:paraId="097D7638">
      <w:pPr>
        <w:rPr>
          <w:rFonts w:hint="eastAsia"/>
          <w:color w:val="auto"/>
          <w:highlight w:val="none"/>
        </w:rPr>
      </w:pPr>
    </w:p>
    <w:p w14:paraId="6F042E4B">
      <w:pPr>
        <w:rPr>
          <w:rFonts w:hint="eastAsia"/>
          <w:color w:val="auto"/>
          <w:highlight w:val="none"/>
        </w:rPr>
      </w:pPr>
    </w:p>
    <w:p w14:paraId="747AB539">
      <w:pPr>
        <w:rPr>
          <w:rFonts w:hint="eastAsia"/>
          <w:color w:val="auto"/>
          <w:highlight w:val="none"/>
        </w:rPr>
      </w:pPr>
    </w:p>
    <w:p w14:paraId="7BE26BE3">
      <w:pPr>
        <w:rPr>
          <w:rFonts w:hint="eastAsia"/>
          <w:color w:val="auto"/>
          <w:highlight w:val="none"/>
        </w:rPr>
      </w:pPr>
    </w:p>
    <w:p w14:paraId="4A542814">
      <w:pPr>
        <w:rPr>
          <w:rFonts w:hint="eastAsia"/>
          <w:color w:val="auto"/>
          <w:highlight w:val="none"/>
        </w:rPr>
      </w:pPr>
    </w:p>
    <w:p w14:paraId="2558E390">
      <w:pPr>
        <w:rPr>
          <w:rFonts w:hint="eastAsia"/>
          <w:color w:val="auto"/>
          <w:highlight w:val="none"/>
        </w:rPr>
      </w:pPr>
    </w:p>
    <w:p w14:paraId="4FB445FD">
      <w:pPr>
        <w:rPr>
          <w:rFonts w:hint="eastAsia"/>
          <w:color w:val="auto"/>
          <w:highlight w:val="none"/>
        </w:rPr>
      </w:pPr>
    </w:p>
    <w:p w14:paraId="2A21748C">
      <w:pPr>
        <w:rPr>
          <w:rFonts w:hint="eastAsia"/>
          <w:color w:val="auto"/>
          <w:highlight w:val="none"/>
        </w:rPr>
      </w:pPr>
    </w:p>
    <w:p w14:paraId="6375784D">
      <w:pPr>
        <w:rPr>
          <w:rFonts w:hint="eastAsia"/>
          <w:color w:val="auto"/>
          <w:highlight w:val="none"/>
        </w:rPr>
      </w:pPr>
    </w:p>
    <w:p w14:paraId="3E375BF4">
      <w:pPr>
        <w:rPr>
          <w:rFonts w:hint="eastAsia"/>
          <w:color w:val="auto"/>
          <w:highlight w:val="none"/>
        </w:rPr>
      </w:pPr>
    </w:p>
    <w:p w14:paraId="569C6C29">
      <w:pPr>
        <w:rPr>
          <w:rFonts w:hint="eastAsia"/>
          <w:color w:val="auto"/>
          <w:highlight w:val="none"/>
        </w:rPr>
      </w:pPr>
    </w:p>
    <w:p w14:paraId="4FE9FB7B">
      <w:pPr>
        <w:rPr>
          <w:rFonts w:hint="eastAsia"/>
          <w:color w:val="auto"/>
          <w:highlight w:val="none"/>
        </w:rPr>
      </w:pPr>
    </w:p>
    <w:p w14:paraId="3749E496">
      <w:pPr>
        <w:rPr>
          <w:rFonts w:hint="eastAsia"/>
          <w:color w:val="auto"/>
          <w:highlight w:val="none"/>
        </w:rPr>
      </w:pPr>
    </w:p>
    <w:p w14:paraId="50207ECA">
      <w:pPr>
        <w:rPr>
          <w:rFonts w:hint="eastAsia"/>
          <w:color w:val="auto"/>
          <w:highlight w:val="none"/>
        </w:rPr>
      </w:pPr>
    </w:p>
    <w:p w14:paraId="78D5009C">
      <w:pPr>
        <w:rPr>
          <w:rFonts w:hint="eastAsia"/>
          <w:color w:val="auto"/>
          <w:highlight w:val="none"/>
        </w:rPr>
      </w:pPr>
    </w:p>
    <w:p w14:paraId="30A07D58">
      <w:pPr>
        <w:pStyle w:val="10"/>
        <w:spacing w:line="247" w:lineRule="auto"/>
        <w:rPr>
          <w:color w:val="auto"/>
          <w:highlight w:val="none"/>
        </w:rPr>
      </w:pPr>
    </w:p>
    <w:p w14:paraId="3111D4EE">
      <w:pPr>
        <w:spacing w:before="78" w:line="220" w:lineRule="auto"/>
        <w:ind w:left="2832"/>
        <w:rPr>
          <w:rFonts w:ascii="宋体" w:hAnsi="宋体" w:cs="宋体"/>
          <w:color w:val="auto"/>
          <w:sz w:val="32"/>
          <w:szCs w:val="32"/>
          <w:highlight w:val="none"/>
        </w:rPr>
      </w:pPr>
      <w:r>
        <w:rPr>
          <w:rFonts w:ascii="宋体" w:hAnsi="宋体" w:cs="宋体"/>
          <w:color w:val="auto"/>
          <w:spacing w:val="-2"/>
          <w:sz w:val="32"/>
          <w:szCs w:val="32"/>
          <w:highlight w:val="none"/>
        </w:rPr>
        <w:t>住房和城乡建设部</w:t>
      </w:r>
    </w:p>
    <w:p w14:paraId="5775ED49">
      <w:pPr>
        <w:spacing w:before="59" w:line="221" w:lineRule="auto"/>
        <w:ind w:left="5959"/>
        <w:rPr>
          <w:rFonts w:ascii="宋体" w:hAnsi="宋体" w:cs="宋体"/>
          <w:color w:val="auto"/>
          <w:sz w:val="32"/>
          <w:szCs w:val="32"/>
          <w:highlight w:val="none"/>
        </w:rPr>
      </w:pPr>
      <w:r>
        <w:rPr>
          <w:rFonts w:ascii="宋体" w:hAnsi="宋体" w:cs="宋体"/>
          <w:color w:val="auto"/>
          <w:spacing w:val="-6"/>
          <w:sz w:val="32"/>
          <w:szCs w:val="32"/>
          <w:highlight w:val="none"/>
        </w:rPr>
        <w:t>制定</w:t>
      </w:r>
    </w:p>
    <w:p w14:paraId="306DFC26">
      <w:pPr>
        <w:spacing w:before="58" w:line="220" w:lineRule="auto"/>
        <w:ind w:left="2617"/>
        <w:rPr>
          <w:rFonts w:ascii="宋体" w:hAnsi="宋体" w:cs="宋体"/>
          <w:color w:val="auto"/>
          <w:sz w:val="32"/>
          <w:szCs w:val="32"/>
          <w:highlight w:val="none"/>
        </w:rPr>
      </w:pPr>
      <w:r>
        <w:rPr>
          <w:rFonts w:ascii="宋体" w:hAnsi="宋体" w:cs="宋体"/>
          <w:color w:val="auto"/>
          <w:spacing w:val="-4"/>
          <w:sz w:val="32"/>
          <w:szCs w:val="32"/>
          <w:highlight w:val="none"/>
        </w:rPr>
        <w:t>国家工商行政管理总局</w:t>
      </w:r>
    </w:p>
    <w:p w14:paraId="73C2534F">
      <w:pPr>
        <w:pStyle w:val="10"/>
        <w:spacing w:line="246" w:lineRule="auto"/>
        <w:rPr>
          <w:color w:val="auto"/>
          <w:highlight w:val="none"/>
        </w:rPr>
      </w:pPr>
    </w:p>
    <w:p w14:paraId="611A6650">
      <w:pPr>
        <w:pStyle w:val="10"/>
        <w:spacing w:line="246" w:lineRule="auto"/>
        <w:rPr>
          <w:color w:val="auto"/>
          <w:highlight w:val="none"/>
        </w:rPr>
      </w:pPr>
    </w:p>
    <w:p w14:paraId="0DA3834C">
      <w:pPr>
        <w:spacing w:line="360" w:lineRule="auto"/>
        <w:jc w:val="center"/>
        <w:outlineLvl w:val="1"/>
        <w:rPr>
          <w:rFonts w:cs="宋体"/>
          <w:color w:val="auto"/>
          <w:sz w:val="44"/>
          <w:szCs w:val="52"/>
          <w:highlight w:val="none"/>
        </w:rPr>
      </w:pPr>
      <w:bookmarkStart w:id="881" w:name="_Toc182248488"/>
      <w:bookmarkStart w:id="882" w:name="_Toc13166"/>
      <w:bookmarkStart w:id="883" w:name="_Toc54862164"/>
      <w:bookmarkStart w:id="884" w:name="_Toc175097368"/>
      <w:bookmarkStart w:id="885" w:name="_Toc165036869"/>
      <w:r>
        <w:rPr>
          <w:rFonts w:cs="宋体"/>
          <w:color w:val="auto"/>
          <w:sz w:val="44"/>
          <w:szCs w:val="52"/>
          <w:highlight w:val="none"/>
        </w:rPr>
        <w:br w:type="page"/>
      </w:r>
      <w:bookmarkStart w:id="886" w:name="_Toc24536"/>
      <w:bookmarkStart w:id="887" w:name="_Toc15852"/>
      <w:bookmarkStart w:id="888" w:name="_Toc20921"/>
      <w:bookmarkStart w:id="889" w:name="_Toc11670"/>
      <w:r>
        <w:rPr>
          <w:rFonts w:hint="eastAsia" w:ascii="宋体" w:hAnsi="宋体" w:cs="宋体"/>
          <w:b/>
          <w:color w:val="auto"/>
          <w:sz w:val="44"/>
          <w:szCs w:val="52"/>
          <w:highlight w:val="none"/>
        </w:rPr>
        <w:t>第一部分 合同协议书</w:t>
      </w:r>
      <w:bookmarkEnd w:id="881"/>
      <w:bookmarkEnd w:id="882"/>
      <w:bookmarkEnd w:id="883"/>
      <w:bookmarkEnd w:id="884"/>
      <w:bookmarkEnd w:id="885"/>
      <w:bookmarkEnd w:id="886"/>
      <w:bookmarkEnd w:id="887"/>
      <w:bookmarkEnd w:id="888"/>
      <w:bookmarkEnd w:id="889"/>
    </w:p>
    <w:p w14:paraId="72B5142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p>
    <w:p w14:paraId="661BB8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p>
    <w:p w14:paraId="2E1B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项目的工程总承包及有关事项协商一致，共同达成如下协议：</w:t>
      </w:r>
    </w:p>
    <w:p w14:paraId="6BE8AF7E">
      <w:pPr>
        <w:spacing w:line="360" w:lineRule="auto"/>
        <w:ind w:firstLine="422" w:firstLineChars="200"/>
        <w:rPr>
          <w:rFonts w:ascii="宋体" w:hAnsi="宋体" w:cs="宋体"/>
          <w:b/>
          <w:color w:val="auto"/>
          <w:szCs w:val="21"/>
          <w:highlight w:val="none"/>
        </w:rPr>
      </w:pPr>
      <w:bookmarkStart w:id="890" w:name="_Toc54862165"/>
      <w:r>
        <w:rPr>
          <w:rFonts w:hint="eastAsia" w:ascii="宋体" w:hAnsi="宋体" w:cs="宋体"/>
          <w:b/>
          <w:color w:val="auto"/>
          <w:szCs w:val="21"/>
          <w:highlight w:val="none"/>
        </w:rPr>
        <w:t>一、工程概况</w:t>
      </w:r>
      <w:bookmarkEnd w:id="890"/>
    </w:p>
    <w:p w14:paraId="189115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工程名称：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3C74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D89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工程审批、核准或备案文号：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8401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AAB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工程内容及规模：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E7B4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工程承包范围：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59231F">
      <w:pPr>
        <w:spacing w:line="360" w:lineRule="auto"/>
        <w:ind w:firstLine="422" w:firstLineChars="200"/>
        <w:rPr>
          <w:rFonts w:ascii="宋体" w:hAnsi="宋体" w:cs="宋体"/>
          <w:b/>
          <w:color w:val="auto"/>
          <w:szCs w:val="21"/>
          <w:highlight w:val="none"/>
        </w:rPr>
      </w:pPr>
      <w:bookmarkStart w:id="891" w:name="_Toc54862166"/>
      <w:r>
        <w:rPr>
          <w:rFonts w:hint="eastAsia" w:ascii="宋体" w:hAnsi="宋体" w:cs="宋体"/>
          <w:b/>
          <w:color w:val="auto"/>
          <w:szCs w:val="21"/>
          <w:highlight w:val="none"/>
        </w:rPr>
        <w:t>二、合同工期</w:t>
      </w:r>
      <w:bookmarkEnd w:id="891"/>
    </w:p>
    <w:p w14:paraId="3B03A6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计划开始工作日期：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DC5D2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计划开始现场施工日期：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2CFE0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DF897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天，工期总日历天数与根据前述计划日期计算的工期天数不一致的，以工期总日历天数为准。</w:t>
      </w:r>
    </w:p>
    <w:p w14:paraId="527DC1F3">
      <w:pPr>
        <w:spacing w:line="360" w:lineRule="auto"/>
        <w:ind w:firstLine="422" w:firstLineChars="200"/>
        <w:rPr>
          <w:rFonts w:ascii="宋体" w:hAnsi="宋体" w:cs="宋体"/>
          <w:b/>
          <w:color w:val="auto"/>
          <w:szCs w:val="21"/>
          <w:highlight w:val="none"/>
        </w:rPr>
      </w:pPr>
      <w:bookmarkStart w:id="892" w:name="_Toc54862167"/>
      <w:r>
        <w:rPr>
          <w:rFonts w:hint="eastAsia" w:ascii="宋体" w:hAnsi="宋体" w:cs="宋体"/>
          <w:b/>
          <w:color w:val="auto"/>
          <w:szCs w:val="21"/>
          <w:highlight w:val="none"/>
        </w:rPr>
        <w:t>三、质量标准</w:t>
      </w:r>
      <w:bookmarkEnd w:id="892"/>
    </w:p>
    <w:p w14:paraId="73B960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工程质量标准：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A1DDF4">
      <w:pPr>
        <w:spacing w:line="360" w:lineRule="auto"/>
        <w:ind w:firstLine="422" w:firstLineChars="200"/>
        <w:rPr>
          <w:rFonts w:ascii="宋体" w:hAnsi="宋体" w:cs="宋体"/>
          <w:b/>
          <w:color w:val="auto"/>
          <w:szCs w:val="21"/>
          <w:highlight w:val="none"/>
        </w:rPr>
      </w:pPr>
      <w:bookmarkStart w:id="893" w:name="_Toc54862168"/>
      <w:r>
        <w:rPr>
          <w:rFonts w:hint="eastAsia" w:ascii="宋体" w:hAnsi="宋体" w:cs="宋体"/>
          <w:b/>
          <w:color w:val="auto"/>
          <w:szCs w:val="21"/>
          <w:highlight w:val="none"/>
        </w:rPr>
        <w:t>四、签约合同价与合同价格形式</w:t>
      </w:r>
      <w:bookmarkEnd w:id="893"/>
    </w:p>
    <w:p w14:paraId="530FFE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签约合同价（含税）为：</w:t>
      </w:r>
    </w:p>
    <w:p w14:paraId="219B7A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合同价格形式：</w:t>
      </w:r>
    </w:p>
    <w:p w14:paraId="103088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合同价格形式为固定总价合同，除根据合同约定的在工程实施过程中需进行增减的款项外，合同价格不予调整，但合同当事人另有约定的除外。</w:t>
      </w:r>
    </w:p>
    <w:p w14:paraId="053A77CC">
      <w:pPr>
        <w:kinsoku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合同当事人对合同价格形式的其他约定：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
          <w:woUserID w:val="1"/>
        </w:rPr>
        <w:t xml:space="preserve">/                             </w:t>
      </w:r>
      <w:r>
        <w:rPr>
          <w:rFonts w:hint="eastAsia" w:ascii="宋体" w:hAnsi="宋体" w:cs="宋体"/>
          <w:color w:val="auto"/>
          <w:szCs w:val="21"/>
          <w:highlight w:val="none"/>
        </w:rPr>
        <w:t>。</w:t>
      </w:r>
    </w:p>
    <w:p w14:paraId="64C3111C">
      <w:pPr>
        <w:spacing w:line="360" w:lineRule="auto"/>
        <w:ind w:firstLine="422" w:firstLineChars="200"/>
        <w:rPr>
          <w:rFonts w:ascii="宋体" w:hAnsi="宋体" w:cs="宋体"/>
          <w:b/>
          <w:color w:val="auto"/>
          <w:szCs w:val="21"/>
          <w:highlight w:val="none"/>
        </w:rPr>
      </w:pPr>
      <w:bookmarkStart w:id="894" w:name="_Toc54862169"/>
      <w:r>
        <w:rPr>
          <w:rFonts w:hint="eastAsia" w:ascii="宋体" w:hAnsi="宋体" w:cs="宋体"/>
          <w:b/>
          <w:color w:val="auto"/>
          <w:szCs w:val="21"/>
          <w:highlight w:val="none"/>
        </w:rPr>
        <w:t>五、工程总承包项目经理</w:t>
      </w:r>
      <w:bookmarkEnd w:id="894"/>
    </w:p>
    <w:p w14:paraId="05475A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工程总承包项目经理：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62D9643">
      <w:pPr>
        <w:spacing w:line="360" w:lineRule="auto"/>
        <w:ind w:firstLine="422" w:firstLineChars="200"/>
        <w:rPr>
          <w:rFonts w:ascii="宋体" w:hAnsi="宋体" w:cs="宋体"/>
          <w:b/>
          <w:color w:val="auto"/>
          <w:szCs w:val="21"/>
          <w:highlight w:val="none"/>
        </w:rPr>
      </w:pPr>
      <w:bookmarkStart w:id="895" w:name="_Toc54862170"/>
      <w:r>
        <w:rPr>
          <w:rFonts w:hint="eastAsia" w:ascii="宋体" w:hAnsi="宋体" w:cs="宋体"/>
          <w:b/>
          <w:color w:val="auto"/>
          <w:szCs w:val="21"/>
          <w:highlight w:val="none"/>
        </w:rPr>
        <w:t>六、合同文件构成</w:t>
      </w:r>
      <w:bookmarkEnd w:id="895"/>
    </w:p>
    <w:p w14:paraId="53FD4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本协议书与下列文件一起构成合同文件： </w:t>
      </w:r>
    </w:p>
    <w:p w14:paraId="276705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中标通知书（如果有）；</w:t>
      </w:r>
    </w:p>
    <w:p w14:paraId="762CAC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函及</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函附录（如果有）；</w:t>
      </w:r>
    </w:p>
    <w:p w14:paraId="77271B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专用合同条件及《发包人要求》等附件；</w:t>
      </w:r>
    </w:p>
    <w:p w14:paraId="25C6D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通用合同条件；</w:t>
      </w:r>
    </w:p>
    <w:p w14:paraId="339C1A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 承包人建议书（如果有）； </w:t>
      </w:r>
    </w:p>
    <w:p w14:paraId="766352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价格清单（如果有）；</w:t>
      </w:r>
    </w:p>
    <w:p w14:paraId="59FD17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 双方约定的其他合同文件。</w:t>
      </w:r>
    </w:p>
    <w:p w14:paraId="5103D8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14:paraId="420CF9F2">
      <w:pPr>
        <w:spacing w:line="360" w:lineRule="auto"/>
        <w:ind w:firstLine="422" w:firstLineChars="200"/>
        <w:rPr>
          <w:rFonts w:ascii="宋体" w:hAnsi="宋体" w:cs="宋体"/>
          <w:b/>
          <w:color w:val="auto"/>
          <w:szCs w:val="21"/>
          <w:highlight w:val="none"/>
        </w:rPr>
      </w:pPr>
      <w:bookmarkStart w:id="896" w:name="_Toc54862171"/>
      <w:r>
        <w:rPr>
          <w:rFonts w:hint="eastAsia" w:ascii="宋体" w:hAnsi="宋体" w:cs="宋体"/>
          <w:b/>
          <w:color w:val="auto"/>
          <w:szCs w:val="21"/>
          <w:highlight w:val="none"/>
        </w:rPr>
        <w:t>七、承诺</w:t>
      </w:r>
      <w:bookmarkEnd w:id="896"/>
    </w:p>
    <w:p w14:paraId="7F86C6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发包人承诺按照法律规定履行项目审批手续、筹集工程建设资金并按照合同约定的期限和方式支付合同价款。</w:t>
      </w:r>
    </w:p>
    <w:p w14:paraId="0DEE9C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14:paraId="71C7E3F8">
      <w:pPr>
        <w:spacing w:line="360" w:lineRule="auto"/>
        <w:ind w:firstLine="422" w:firstLineChars="200"/>
        <w:rPr>
          <w:rFonts w:ascii="宋体" w:hAnsi="宋体" w:cs="宋体"/>
          <w:b/>
          <w:color w:val="auto"/>
          <w:szCs w:val="21"/>
          <w:highlight w:val="none"/>
        </w:rPr>
      </w:pPr>
      <w:bookmarkStart w:id="897" w:name="_Toc54862172"/>
      <w:r>
        <w:rPr>
          <w:rFonts w:hint="eastAsia" w:ascii="宋体" w:hAnsi="宋体" w:cs="宋体"/>
          <w:b/>
          <w:color w:val="auto"/>
          <w:szCs w:val="21"/>
          <w:highlight w:val="none"/>
        </w:rPr>
        <w:t>八、订立时间</w:t>
      </w:r>
      <w:bookmarkEnd w:id="897"/>
    </w:p>
    <w:p w14:paraId="218CFD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日订立。</w:t>
      </w:r>
    </w:p>
    <w:p w14:paraId="27AD6287">
      <w:pPr>
        <w:spacing w:line="360" w:lineRule="auto"/>
        <w:ind w:firstLine="422" w:firstLineChars="200"/>
        <w:rPr>
          <w:rFonts w:ascii="宋体" w:hAnsi="宋体" w:cs="宋体"/>
          <w:b/>
          <w:color w:val="auto"/>
          <w:szCs w:val="21"/>
          <w:highlight w:val="none"/>
        </w:rPr>
      </w:pPr>
      <w:bookmarkStart w:id="898" w:name="_Toc54862173"/>
      <w:r>
        <w:rPr>
          <w:rFonts w:hint="eastAsia" w:ascii="宋体" w:hAnsi="宋体" w:cs="宋体"/>
          <w:b/>
          <w:color w:val="auto"/>
          <w:szCs w:val="21"/>
          <w:highlight w:val="none"/>
        </w:rPr>
        <w:t>九、订立地点</w:t>
      </w:r>
      <w:bookmarkEnd w:id="898"/>
    </w:p>
    <w:p w14:paraId="6F54D5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订立。</w:t>
      </w:r>
    </w:p>
    <w:p w14:paraId="51FC79E7">
      <w:pPr>
        <w:spacing w:line="360" w:lineRule="auto"/>
        <w:ind w:firstLine="422" w:firstLineChars="200"/>
        <w:rPr>
          <w:rFonts w:ascii="宋体" w:hAnsi="宋体" w:cs="宋体"/>
          <w:b/>
          <w:color w:val="auto"/>
          <w:szCs w:val="21"/>
          <w:highlight w:val="none"/>
        </w:rPr>
      </w:pPr>
      <w:bookmarkStart w:id="899" w:name="_Toc54862174"/>
      <w:r>
        <w:rPr>
          <w:rFonts w:hint="eastAsia" w:ascii="宋体" w:hAnsi="宋体" w:cs="宋体"/>
          <w:b/>
          <w:color w:val="auto"/>
          <w:szCs w:val="21"/>
          <w:highlight w:val="none"/>
        </w:rPr>
        <w:t>十、合同生效</w:t>
      </w:r>
      <w:bookmarkEnd w:id="899"/>
    </w:p>
    <w:p w14:paraId="36E69B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本合同经双方签字或盖章后成立，并自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6A5C68F4">
      <w:pPr>
        <w:spacing w:line="360" w:lineRule="auto"/>
        <w:ind w:firstLine="422" w:firstLineChars="200"/>
        <w:rPr>
          <w:rFonts w:ascii="宋体" w:hAnsi="宋体" w:cs="宋体"/>
          <w:b/>
          <w:color w:val="auto"/>
          <w:szCs w:val="21"/>
          <w:highlight w:val="none"/>
        </w:rPr>
      </w:pPr>
      <w:bookmarkStart w:id="900" w:name="_Toc54862175"/>
      <w:r>
        <w:rPr>
          <w:rFonts w:hint="eastAsia" w:ascii="宋体" w:hAnsi="宋体" w:cs="宋体"/>
          <w:b/>
          <w:color w:val="auto"/>
          <w:szCs w:val="21"/>
          <w:highlight w:val="none"/>
        </w:rPr>
        <w:t>十一、合同份数</w:t>
      </w:r>
      <w:bookmarkEnd w:id="900"/>
    </w:p>
    <w:p w14:paraId="302377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份，均具有同等法律效力，发包人执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份，承包人执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34E06934">
      <w:pPr>
        <w:ind w:firstLine="600"/>
        <w:rPr>
          <w:rFonts w:ascii="宋体" w:hAnsi="宋体" w:cs="宋体"/>
          <w:color w:val="auto"/>
          <w:sz w:val="24"/>
          <w:highlight w:val="none"/>
        </w:rPr>
      </w:pPr>
    </w:p>
    <w:tbl>
      <w:tblPr>
        <w:tblStyle w:val="27"/>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32B753AC">
        <w:tblPrEx>
          <w:tblCellMar>
            <w:top w:w="0" w:type="dxa"/>
            <w:left w:w="108" w:type="dxa"/>
            <w:bottom w:w="0" w:type="dxa"/>
            <w:right w:w="108" w:type="dxa"/>
          </w:tblCellMar>
        </w:tblPrEx>
        <w:tc>
          <w:tcPr>
            <w:tcW w:w="4507" w:type="dxa"/>
            <w:noWrap w:val="0"/>
            <w:vAlign w:val="top"/>
          </w:tcPr>
          <w:p w14:paraId="5FE610EC">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发包人：（公章）</w:t>
            </w:r>
          </w:p>
        </w:tc>
        <w:tc>
          <w:tcPr>
            <w:tcW w:w="4565" w:type="dxa"/>
            <w:noWrap w:val="0"/>
            <w:vAlign w:val="top"/>
          </w:tcPr>
          <w:p w14:paraId="66C55B61">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承包人：（公章）</w:t>
            </w:r>
          </w:p>
        </w:tc>
      </w:tr>
      <w:tr w14:paraId="156BC6ED">
        <w:tblPrEx>
          <w:tblCellMar>
            <w:top w:w="0" w:type="dxa"/>
            <w:left w:w="108" w:type="dxa"/>
            <w:bottom w:w="0" w:type="dxa"/>
            <w:right w:w="108" w:type="dxa"/>
          </w:tblCellMar>
        </w:tblPrEx>
        <w:tc>
          <w:tcPr>
            <w:tcW w:w="4507" w:type="dxa"/>
            <w:noWrap w:val="0"/>
            <w:vAlign w:val="top"/>
          </w:tcPr>
          <w:p w14:paraId="7E37D090">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法定代表人或其委托代理人：</w:t>
            </w:r>
          </w:p>
          <w:p w14:paraId="41978023">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（签字）</w:t>
            </w:r>
          </w:p>
        </w:tc>
        <w:tc>
          <w:tcPr>
            <w:tcW w:w="4565" w:type="dxa"/>
            <w:noWrap w:val="0"/>
            <w:vAlign w:val="top"/>
          </w:tcPr>
          <w:p w14:paraId="4D618C76">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法定代表人或其委托代理人：</w:t>
            </w:r>
          </w:p>
          <w:p w14:paraId="018359A9">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（签字）</w:t>
            </w:r>
          </w:p>
        </w:tc>
      </w:tr>
      <w:tr w14:paraId="2A455D21">
        <w:tblPrEx>
          <w:tblCellMar>
            <w:top w:w="0" w:type="dxa"/>
            <w:left w:w="108" w:type="dxa"/>
            <w:bottom w:w="0" w:type="dxa"/>
            <w:right w:w="108" w:type="dxa"/>
          </w:tblCellMar>
        </w:tblPrEx>
        <w:tc>
          <w:tcPr>
            <w:tcW w:w="4507" w:type="dxa"/>
            <w:noWrap w:val="0"/>
            <w:vAlign w:val="top"/>
          </w:tcPr>
          <w:p w14:paraId="624C2637">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7ABA8AC3">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kern w:val="0"/>
                <w:sz w:val="21"/>
                <w:szCs w:val="21"/>
                <w:highlight w:val="none"/>
                <w:u w:val="single"/>
              </w:rPr>
              <w:t xml:space="preserve">                       </w:t>
            </w:r>
          </w:p>
          <w:p w14:paraId="155402AD">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邮政编码：</w:t>
            </w:r>
            <w:r>
              <w:rPr>
                <w:rFonts w:hint="eastAsia" w:hAnsi="宋体" w:cs="宋体"/>
                <w:color w:val="auto"/>
                <w:kern w:val="0"/>
                <w:sz w:val="21"/>
                <w:szCs w:val="21"/>
                <w:highlight w:val="none"/>
                <w:u w:val="single"/>
              </w:rPr>
              <w:t xml:space="preserve">                      </w:t>
            </w:r>
          </w:p>
          <w:p w14:paraId="223FBECC">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543393B2">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490D27B9">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rPr>
              <w:t xml:space="preserve">                       </w:t>
            </w:r>
          </w:p>
          <w:p w14:paraId="3C378B86">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 xml:space="preserve">传真： </w:t>
            </w:r>
            <w:r>
              <w:rPr>
                <w:rFonts w:hint="eastAsia" w:hAnsi="宋体" w:cs="宋体"/>
                <w:color w:val="auto"/>
                <w:kern w:val="0"/>
                <w:sz w:val="21"/>
                <w:szCs w:val="21"/>
                <w:highlight w:val="none"/>
                <w:u w:val="single"/>
              </w:rPr>
              <w:t xml:space="preserve">                      </w:t>
            </w:r>
          </w:p>
          <w:p w14:paraId="759B59CB">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rPr>
              <w:t xml:space="preserve">                    </w:t>
            </w:r>
          </w:p>
          <w:p w14:paraId="1E08AAA5">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rPr>
              <w:t xml:space="preserve">                   </w:t>
            </w:r>
          </w:p>
          <w:p w14:paraId="4D7C00C6">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账号：</w:t>
            </w:r>
            <w:r>
              <w:rPr>
                <w:rFonts w:hint="eastAsia" w:hAnsi="宋体" w:cs="宋体"/>
                <w:color w:val="auto"/>
                <w:kern w:val="0"/>
                <w:sz w:val="21"/>
                <w:szCs w:val="21"/>
                <w:highlight w:val="none"/>
                <w:u w:val="single"/>
              </w:rPr>
              <w:t xml:space="preserve">                       </w:t>
            </w:r>
          </w:p>
        </w:tc>
        <w:tc>
          <w:tcPr>
            <w:tcW w:w="4565" w:type="dxa"/>
            <w:noWrap w:val="0"/>
            <w:vAlign w:val="top"/>
          </w:tcPr>
          <w:p w14:paraId="05BA6F35">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671D5428">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kern w:val="0"/>
                <w:sz w:val="21"/>
                <w:szCs w:val="21"/>
                <w:highlight w:val="none"/>
                <w:u w:val="single"/>
              </w:rPr>
              <w:t xml:space="preserve">                        </w:t>
            </w:r>
          </w:p>
          <w:p w14:paraId="57F63844">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邮政编码：</w:t>
            </w:r>
            <w:r>
              <w:rPr>
                <w:rFonts w:hint="eastAsia" w:hAnsi="宋体" w:cs="宋体"/>
                <w:color w:val="auto"/>
                <w:kern w:val="0"/>
                <w:sz w:val="21"/>
                <w:szCs w:val="21"/>
                <w:highlight w:val="none"/>
                <w:u w:val="single"/>
              </w:rPr>
              <w:t xml:space="preserve">                      </w:t>
            </w:r>
          </w:p>
          <w:p w14:paraId="4EC402A2">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788385A5">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679593F9">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rPr>
              <w:t xml:space="preserve">                       </w:t>
            </w:r>
          </w:p>
          <w:p w14:paraId="00E88DAD">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rPr>
              <w:t xml:space="preserve">                       </w:t>
            </w:r>
          </w:p>
          <w:p w14:paraId="5CF3D68D">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rPr>
              <w:t xml:space="preserve">                   </w:t>
            </w:r>
          </w:p>
          <w:p w14:paraId="473ACFF3">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rPr>
              <w:t xml:space="preserve">                   </w:t>
            </w:r>
          </w:p>
          <w:p w14:paraId="714CF49C">
            <w:pPr>
              <w:pStyle w:val="79"/>
              <w:keepNext w:val="0"/>
              <w:keepLines w:val="0"/>
              <w:framePr w:hSpace="0" w:wrap="auto" w:vAnchor="margin" w:hAnchor="text" w:yAlign="inline"/>
              <w:widowControl/>
              <w:suppressLineNumbers w:val="0"/>
              <w:spacing w:before="0" w:beforeAutospacing="0" w:after="50" w:afterAutospacing="0" w:line="360" w:lineRule="auto"/>
              <w:ind w:left="0" w:right="0"/>
              <w:rPr>
                <w:rFonts w:hint="default" w:hAnsi="宋体" w:cs="宋体"/>
                <w:color w:val="auto"/>
                <w:sz w:val="21"/>
                <w:szCs w:val="21"/>
                <w:highlight w:val="none"/>
              </w:rPr>
            </w:pPr>
            <w:r>
              <w:rPr>
                <w:rFonts w:hint="eastAsia" w:hAnsi="宋体" w:cs="宋体"/>
                <w:color w:val="auto"/>
                <w:sz w:val="21"/>
                <w:szCs w:val="21"/>
                <w:highlight w:val="none"/>
              </w:rPr>
              <w:t>账号：</w:t>
            </w:r>
            <w:r>
              <w:rPr>
                <w:rFonts w:hint="eastAsia" w:hAnsi="宋体" w:cs="宋体"/>
                <w:color w:val="auto"/>
                <w:sz w:val="21"/>
                <w:szCs w:val="21"/>
                <w:highlight w:val="none"/>
                <w:u w:val="single"/>
              </w:rPr>
              <w:t xml:space="preserve">                       </w:t>
            </w:r>
          </w:p>
        </w:tc>
      </w:tr>
    </w:tbl>
    <w:p w14:paraId="3EBED8F9">
      <w:pPr>
        <w:jc w:val="center"/>
        <w:rPr>
          <w:rFonts w:hint="eastAsia" w:ascii="宋体" w:hAnsi="宋体" w:cs="宋体"/>
          <w:color w:val="auto"/>
          <w:sz w:val="44"/>
          <w:szCs w:val="52"/>
          <w:highlight w:val="none"/>
        </w:rPr>
      </w:pPr>
      <w:bookmarkStart w:id="901" w:name="_Toc182248489"/>
      <w:bookmarkStart w:id="902" w:name="_Toc165036870"/>
    </w:p>
    <w:p w14:paraId="4633141F">
      <w:pPr>
        <w:jc w:val="center"/>
        <w:rPr>
          <w:rFonts w:hint="eastAsia" w:ascii="宋体" w:hAnsi="宋体" w:cs="宋体"/>
          <w:color w:val="auto"/>
          <w:sz w:val="44"/>
          <w:szCs w:val="52"/>
          <w:highlight w:val="none"/>
        </w:rPr>
      </w:pPr>
    </w:p>
    <w:p w14:paraId="0C45BA73">
      <w:pPr>
        <w:jc w:val="center"/>
        <w:rPr>
          <w:rFonts w:hint="eastAsia" w:ascii="宋体" w:hAnsi="宋体" w:cs="宋体"/>
          <w:color w:val="auto"/>
          <w:sz w:val="44"/>
          <w:szCs w:val="52"/>
          <w:highlight w:val="none"/>
        </w:rPr>
      </w:pPr>
    </w:p>
    <w:p w14:paraId="7003FC0C">
      <w:pPr>
        <w:jc w:val="center"/>
        <w:rPr>
          <w:rFonts w:hint="eastAsia" w:ascii="宋体" w:hAnsi="宋体" w:cs="宋体"/>
          <w:color w:val="auto"/>
          <w:sz w:val="44"/>
          <w:szCs w:val="52"/>
          <w:highlight w:val="none"/>
        </w:rPr>
      </w:pPr>
    </w:p>
    <w:p w14:paraId="49B86A6D">
      <w:pPr>
        <w:jc w:val="center"/>
        <w:rPr>
          <w:rFonts w:hint="eastAsia" w:ascii="宋体" w:hAnsi="宋体" w:cs="宋体"/>
          <w:color w:val="auto"/>
          <w:sz w:val="44"/>
          <w:szCs w:val="52"/>
          <w:highlight w:val="none"/>
        </w:rPr>
      </w:pPr>
    </w:p>
    <w:p w14:paraId="506CA897">
      <w:pPr>
        <w:rPr>
          <w:rFonts w:hint="eastAsia" w:ascii="宋体" w:hAnsi="宋体" w:cs="宋体"/>
          <w:color w:val="auto"/>
          <w:sz w:val="44"/>
          <w:szCs w:val="52"/>
          <w:highlight w:val="none"/>
        </w:rPr>
      </w:pPr>
      <w:r>
        <w:rPr>
          <w:rFonts w:hint="eastAsia" w:ascii="宋体" w:hAnsi="宋体" w:cs="宋体"/>
          <w:color w:val="auto"/>
          <w:sz w:val="44"/>
          <w:szCs w:val="52"/>
          <w:highlight w:val="none"/>
        </w:rPr>
        <w:br w:type="page"/>
      </w:r>
    </w:p>
    <w:p w14:paraId="1E5A59F1">
      <w:pPr>
        <w:spacing w:line="360" w:lineRule="auto"/>
        <w:jc w:val="center"/>
        <w:outlineLvl w:val="1"/>
        <w:rPr>
          <w:rFonts w:ascii="宋体" w:hAnsi="宋体" w:cs="宋体"/>
          <w:b/>
          <w:color w:val="auto"/>
          <w:sz w:val="24"/>
          <w:highlight w:val="none"/>
        </w:rPr>
      </w:pPr>
      <w:bookmarkStart w:id="903" w:name="_Toc7172"/>
      <w:bookmarkStart w:id="904" w:name="_Toc30978"/>
      <w:bookmarkStart w:id="905" w:name="_Toc17511"/>
      <w:bookmarkStart w:id="906" w:name="_Toc23204"/>
      <w:r>
        <w:rPr>
          <w:rFonts w:hint="eastAsia" w:ascii="宋体" w:hAnsi="宋体" w:cs="宋体"/>
          <w:b/>
          <w:color w:val="auto"/>
          <w:sz w:val="44"/>
          <w:szCs w:val="52"/>
          <w:highlight w:val="none"/>
        </w:rPr>
        <w:t>第二部分  通用合同条款</w:t>
      </w:r>
      <w:bookmarkEnd w:id="901"/>
      <w:bookmarkEnd w:id="902"/>
      <w:bookmarkEnd w:id="903"/>
      <w:bookmarkEnd w:id="904"/>
      <w:bookmarkEnd w:id="905"/>
      <w:bookmarkEnd w:id="906"/>
    </w:p>
    <w:p w14:paraId="39F1586C">
      <w:pPr>
        <w:spacing w:line="360" w:lineRule="auto"/>
        <w:jc w:val="center"/>
        <w:rPr>
          <w:rFonts w:ascii="宋体" w:hAnsi="宋体" w:cs="宋体"/>
          <w:color w:val="auto"/>
          <w:sz w:val="28"/>
          <w:szCs w:val="28"/>
          <w:highlight w:val="none"/>
        </w:rPr>
      </w:pPr>
    </w:p>
    <w:p w14:paraId="2196D8F3">
      <w:pPr>
        <w:spacing w:line="480" w:lineRule="exact"/>
        <w:rPr>
          <w:rFonts w:ascii="宋体" w:hAnsi="宋体" w:cs="宋体"/>
          <w:color w:val="auto"/>
          <w:szCs w:val="21"/>
          <w:highlight w:val="none"/>
        </w:rPr>
      </w:pPr>
      <w:r>
        <w:rPr>
          <w:rFonts w:hint="eastAsia" w:ascii="宋体" w:hAnsi="宋体" w:cs="宋体"/>
          <w:color w:val="auto"/>
          <w:szCs w:val="21"/>
          <w:highlight w:val="none"/>
        </w:rPr>
        <w:t>按《建设项目工程总承包合同（示范文本）》（GF-2020-0216）通用条款执行</w:t>
      </w:r>
    </w:p>
    <w:p w14:paraId="72AB381E">
      <w:pPr>
        <w:spacing w:line="480" w:lineRule="exact"/>
        <w:rPr>
          <w:rFonts w:ascii="宋体" w:hAnsi="宋体" w:cs="宋体"/>
          <w:color w:val="auto"/>
          <w:szCs w:val="21"/>
          <w:highlight w:val="none"/>
        </w:rPr>
      </w:pPr>
      <w:r>
        <w:rPr>
          <w:rFonts w:hint="eastAsia" w:ascii="宋体" w:hAnsi="宋体" w:cs="宋体"/>
          <w:color w:val="auto"/>
          <w:szCs w:val="21"/>
          <w:highlight w:val="none"/>
        </w:rPr>
        <w:t>《建设项目工程总承包合同（示范文本）》（GF-2020-0216）可在中华人民共和国住房和城乡建设部网站下载</w:t>
      </w:r>
    </w:p>
    <w:p w14:paraId="520D2582">
      <w:pPr>
        <w:spacing w:line="480" w:lineRule="exact"/>
        <w:rPr>
          <w:rFonts w:ascii="宋体" w:hAnsi="宋体" w:cs="宋体"/>
          <w:color w:val="auto"/>
          <w:szCs w:val="21"/>
          <w:highlight w:val="none"/>
        </w:rPr>
      </w:pPr>
      <w:r>
        <w:rPr>
          <w:rFonts w:hint="eastAsia" w:ascii="宋体" w:hAnsi="宋体" w:cs="宋体"/>
          <w:color w:val="auto"/>
          <w:szCs w:val="21"/>
          <w:highlight w:val="none"/>
        </w:rPr>
        <w:t>https://www.mohurd.gov.cn/gongkai/zhengce/zhengcefilelib/202012/20201209_248376.html</w:t>
      </w:r>
    </w:p>
    <w:p w14:paraId="1DA1B6A9">
      <w:pPr>
        <w:spacing w:line="480" w:lineRule="exact"/>
        <w:jc w:val="center"/>
        <w:rPr>
          <w:rFonts w:ascii="宋体" w:hAnsi="宋体" w:cs="宋体"/>
          <w:color w:val="auto"/>
          <w:sz w:val="24"/>
          <w:highlight w:val="none"/>
        </w:rPr>
      </w:pPr>
    </w:p>
    <w:p w14:paraId="2E102391">
      <w:pPr>
        <w:jc w:val="center"/>
        <w:rPr>
          <w:rFonts w:ascii="宋体" w:hAnsi="宋体" w:cs="宋体"/>
          <w:color w:val="auto"/>
          <w:sz w:val="24"/>
          <w:highlight w:val="none"/>
        </w:rPr>
      </w:pPr>
    </w:p>
    <w:p w14:paraId="7835457F">
      <w:pPr>
        <w:jc w:val="center"/>
        <w:rPr>
          <w:rFonts w:ascii="宋体" w:hAnsi="宋体" w:cs="宋体"/>
          <w:color w:val="auto"/>
          <w:szCs w:val="44"/>
          <w:highlight w:val="none"/>
        </w:rPr>
      </w:pPr>
      <w:r>
        <w:rPr>
          <w:rFonts w:hint="eastAsia" w:ascii="宋体" w:hAnsi="宋体" w:cs="宋体"/>
          <w:color w:val="auto"/>
          <w:sz w:val="24"/>
          <w:highlight w:val="none"/>
        </w:rPr>
        <w:br w:type="page"/>
      </w:r>
    </w:p>
    <w:p w14:paraId="59A855CC">
      <w:pPr>
        <w:pStyle w:val="80"/>
        <w:keepNext w:val="0"/>
        <w:keepLines w:val="0"/>
        <w:widowControl/>
        <w:numPr>
          <w:ilvl w:val="0"/>
          <w:numId w:val="0"/>
        </w:numPr>
        <w:adjustRightInd w:val="0"/>
        <w:snapToGrid w:val="0"/>
        <w:spacing w:before="0" w:after="50" w:line="360" w:lineRule="auto"/>
        <w:jc w:val="center"/>
        <w:outlineLvl w:val="1"/>
        <w:rPr>
          <w:rFonts w:cs="宋体"/>
          <w:bCs w:val="0"/>
          <w:color w:val="auto"/>
          <w:kern w:val="2"/>
          <w:sz w:val="44"/>
          <w:szCs w:val="52"/>
          <w:highlight w:val="none"/>
          <w:lang w:val="en-US"/>
        </w:rPr>
      </w:pPr>
      <w:bookmarkStart w:id="907" w:name="_Toc31838"/>
      <w:bookmarkStart w:id="908" w:name="_Toc5955"/>
      <w:bookmarkStart w:id="909" w:name="_Toc175097369"/>
      <w:bookmarkStart w:id="910" w:name="_Toc11079"/>
      <w:bookmarkStart w:id="911" w:name="_Toc54862331"/>
      <w:bookmarkStart w:id="912" w:name="_Toc32266"/>
      <w:bookmarkStart w:id="913" w:name="_Toc182248490"/>
      <w:bookmarkStart w:id="914" w:name="_Toc28537"/>
      <w:bookmarkStart w:id="915" w:name="_Toc165036871"/>
      <w:r>
        <w:rPr>
          <w:rFonts w:hint="eastAsia" w:cs="宋体"/>
          <w:bCs w:val="0"/>
          <w:color w:val="auto"/>
          <w:kern w:val="2"/>
          <w:sz w:val="44"/>
          <w:szCs w:val="52"/>
          <w:highlight w:val="none"/>
          <w:lang w:val="en-US"/>
        </w:rPr>
        <w:t>第三部分  专用合同条件</w:t>
      </w:r>
      <w:bookmarkEnd w:id="907"/>
      <w:bookmarkEnd w:id="908"/>
      <w:bookmarkEnd w:id="909"/>
      <w:bookmarkEnd w:id="910"/>
      <w:bookmarkEnd w:id="911"/>
      <w:bookmarkEnd w:id="912"/>
      <w:bookmarkEnd w:id="913"/>
      <w:bookmarkEnd w:id="914"/>
      <w:bookmarkEnd w:id="915"/>
    </w:p>
    <w:p w14:paraId="1B02479D">
      <w:pPr>
        <w:pStyle w:val="81"/>
        <w:spacing w:before="0" w:after="0"/>
        <w:ind w:firstLine="420" w:firstLineChars="200"/>
        <w:outlineLvl w:val="2"/>
        <w:rPr>
          <w:rFonts w:cs="宋体"/>
          <w:b w:val="0"/>
          <w:bCs/>
          <w:color w:val="auto"/>
          <w:sz w:val="21"/>
          <w:szCs w:val="21"/>
          <w:highlight w:val="none"/>
        </w:rPr>
      </w:pPr>
      <w:bookmarkStart w:id="916" w:name="_Toc182248491"/>
      <w:bookmarkStart w:id="917" w:name="_Toc165036872"/>
      <w:bookmarkStart w:id="918" w:name="_Toc31676"/>
      <w:bookmarkStart w:id="919" w:name="_Toc27119"/>
      <w:bookmarkStart w:id="920" w:name="_Toc175097370"/>
      <w:bookmarkStart w:id="921" w:name="_Toc23857"/>
      <w:bookmarkStart w:id="922" w:name="_Toc54862332"/>
      <w:r>
        <w:rPr>
          <w:rFonts w:hint="eastAsia" w:cs="宋体"/>
          <w:b w:val="0"/>
          <w:bCs/>
          <w:color w:val="auto"/>
          <w:sz w:val="21"/>
          <w:szCs w:val="21"/>
          <w:highlight w:val="none"/>
        </w:rPr>
        <w:t>第1条 一般约定</w:t>
      </w:r>
      <w:bookmarkEnd w:id="916"/>
      <w:bookmarkEnd w:id="917"/>
      <w:bookmarkEnd w:id="918"/>
      <w:bookmarkEnd w:id="919"/>
      <w:bookmarkEnd w:id="920"/>
      <w:bookmarkEnd w:id="921"/>
      <w:bookmarkEnd w:id="922"/>
    </w:p>
    <w:p w14:paraId="592CDE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词语定义和解释</w:t>
      </w:r>
    </w:p>
    <w:p w14:paraId="60A8D7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合同</w:t>
      </w:r>
    </w:p>
    <w:p w14:paraId="4E374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1.1.1.10 其他合同文件：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C93F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工程和设备</w:t>
      </w:r>
    </w:p>
    <w:p w14:paraId="1F887A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1.1.3.5 单位/区段工程的范围：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EC9D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1.1.3.9 作为施工场所组成部分的其他场所包括：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B79A5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1.1.3.10 永久占地包括：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DB430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1.1.3.11 临时占地包括：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D36A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语言文字</w:t>
      </w:r>
    </w:p>
    <w:p w14:paraId="1A23D5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本合同除使用汉语外，还使用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语言。</w:t>
      </w:r>
    </w:p>
    <w:p w14:paraId="330121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 法律</w:t>
      </w:r>
    </w:p>
    <w:p w14:paraId="42A94D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A514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 标准和规范</w:t>
      </w:r>
    </w:p>
    <w:p w14:paraId="543CC5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适用于本合同的标准、规范（名称）包括：</w:t>
      </w:r>
      <w:r>
        <w:rPr>
          <w:rFonts w:hint="eastAsia" w:ascii="宋体" w:hAnsi="宋体" w:cs="宋体"/>
          <w:color w:val="auto"/>
          <w:szCs w:val="21"/>
          <w:highlight w:val="none"/>
          <w:u w:val="single"/>
        </w:rPr>
        <w:t xml:space="preserve">国家和地方现行及已颁发将要执行的标准、规范    </w:t>
      </w:r>
      <w:r>
        <w:rPr>
          <w:rFonts w:hint="eastAsia" w:ascii="宋体" w:hAnsi="宋体" w:cs="宋体"/>
          <w:color w:val="auto"/>
          <w:szCs w:val="21"/>
          <w:highlight w:val="none"/>
        </w:rPr>
        <w:t>。</w:t>
      </w:r>
    </w:p>
    <w:p w14:paraId="2AE7D8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发包人提供的国外标准、规范的名称：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；发包人提供的国外标准、规范的份数：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；发包人提供的国外标准、规范的时间：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9DEC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没有成文规范、标准规定的约定：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9851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 发包人对于工程的技术标准、功能要求：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1FAA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 合同文件的优先顺序</w:t>
      </w:r>
    </w:p>
    <w:p w14:paraId="5DF595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E768B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 文件的提供和照管</w:t>
      </w:r>
    </w:p>
    <w:p w14:paraId="5EE8E4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 发包人文件的提供</w:t>
      </w:r>
    </w:p>
    <w:p w14:paraId="7EB939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发包人文件的提供期限、名称、数量和形式：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A131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承包人文件的提供</w:t>
      </w:r>
    </w:p>
    <w:p w14:paraId="5122E0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承包人文件的内容、提供期限、名称、数量和形式：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03C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 文件的照管</w:t>
      </w:r>
    </w:p>
    <w:p w14:paraId="5ABC5C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关于现场文件准备的约定：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9EF3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 联络</w:t>
      </w:r>
    </w:p>
    <w:p w14:paraId="5FA099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 发包人指定的送达方式（包括电子传输方式）：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7EC5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发包人的送达地址：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679E0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承包人指定的送达方式（包括电子传输方式）：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3FDD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承包人的送达地址：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FA7B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 知识产权</w:t>
      </w:r>
    </w:p>
    <w:p w14:paraId="4495DE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1.10.1 由发包人（或以发包人名义）编制的《发包人要求》和其他文件的著作权归属：</w:t>
      </w:r>
      <w:r>
        <w:rPr>
          <w:rFonts w:hint="eastAsia" w:ascii="宋体" w:hAnsi="宋体" w:cs="宋体"/>
          <w:color w:val="auto"/>
          <w:szCs w:val="21"/>
          <w:highlight w:val="none"/>
          <w:u w:val="single"/>
        </w:rPr>
        <w:t xml:space="preserve"> 归属墨子实验室               </w:t>
      </w:r>
      <w:r>
        <w:rPr>
          <w:rFonts w:hint="eastAsia" w:ascii="宋体" w:hAnsi="宋体" w:cs="宋体"/>
          <w:color w:val="auto"/>
          <w:szCs w:val="21"/>
          <w:highlight w:val="none"/>
        </w:rPr>
        <w:t>。</w:t>
      </w:r>
    </w:p>
    <w:p w14:paraId="39B2E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1.10.2 由承包人（或以承包人名义）为实施工程所编制的文件、承包人完成的设计工作成果和建造完成的建筑物的知识产权归属：</w:t>
      </w:r>
      <w:r>
        <w:rPr>
          <w:rFonts w:hint="eastAsia" w:ascii="宋体" w:hAnsi="宋体" w:cs="宋体"/>
          <w:color w:val="auto"/>
          <w:szCs w:val="21"/>
          <w:highlight w:val="none"/>
          <w:u w:val="single"/>
        </w:rPr>
        <w:t xml:space="preserve"> 归属墨子实验室                     </w:t>
      </w:r>
      <w:r>
        <w:rPr>
          <w:rFonts w:hint="eastAsia" w:ascii="宋体" w:hAnsi="宋体" w:cs="宋体"/>
          <w:color w:val="auto"/>
          <w:szCs w:val="21"/>
          <w:highlight w:val="none"/>
        </w:rPr>
        <w:t>。</w:t>
      </w:r>
    </w:p>
    <w:p w14:paraId="545DAB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1.10.4 承包人在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中采用的专利、专有技术、技术秘密的使用费的承担方式</w:t>
      </w:r>
      <w:r>
        <w:rPr>
          <w:rFonts w:hint="eastAsia" w:ascii="宋体" w:hAnsi="宋体" w:cs="宋体"/>
          <w:color w:val="auto"/>
          <w:szCs w:val="21"/>
          <w:highlight w:val="none"/>
          <w:u w:val="single"/>
        </w:rPr>
        <w:t xml:space="preserve">   自行承担                             </w:t>
      </w:r>
      <w:r>
        <w:rPr>
          <w:rFonts w:hint="eastAsia" w:ascii="宋体" w:hAnsi="宋体" w:cs="宋体"/>
          <w:color w:val="auto"/>
          <w:szCs w:val="21"/>
          <w:highlight w:val="none"/>
        </w:rPr>
        <w:t>。</w:t>
      </w:r>
    </w:p>
    <w:p w14:paraId="0A547C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保密</w:t>
      </w:r>
    </w:p>
    <w:p w14:paraId="329D6C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双方订立的商业保密协议（名称）：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，作为本合同附件。</w:t>
      </w:r>
    </w:p>
    <w:p w14:paraId="70A1D9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双方订立的技术保密协议（名称）：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，作为本合同附件。</w:t>
      </w:r>
    </w:p>
    <w:p w14:paraId="706A9F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责任限制</w:t>
      </w:r>
    </w:p>
    <w:p w14:paraId="08893C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承包人对发包人赔偿责任的最高限额为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EBBB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 建筑信息模型技术的应用</w:t>
      </w:r>
    </w:p>
    <w:p w14:paraId="1D39D2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关于建筑信息模型技术的开发、使用、存储、传输、交付及费用约定如下：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D143C4">
      <w:pPr>
        <w:pStyle w:val="81"/>
        <w:spacing w:before="0" w:after="0"/>
        <w:ind w:firstLine="420" w:firstLineChars="200"/>
        <w:outlineLvl w:val="2"/>
        <w:rPr>
          <w:rFonts w:cs="宋体"/>
          <w:b w:val="0"/>
          <w:bCs/>
          <w:color w:val="auto"/>
          <w:sz w:val="21"/>
          <w:szCs w:val="21"/>
          <w:highlight w:val="none"/>
        </w:rPr>
      </w:pPr>
      <w:bookmarkStart w:id="923" w:name="_Toc54862333"/>
      <w:bookmarkStart w:id="924" w:name="_Toc3400"/>
      <w:bookmarkStart w:id="925" w:name="_Toc182248492"/>
      <w:bookmarkStart w:id="926" w:name="_Toc8017"/>
      <w:bookmarkStart w:id="927" w:name="_Toc21037"/>
      <w:bookmarkStart w:id="928" w:name="_Toc165036873"/>
      <w:bookmarkStart w:id="929" w:name="_Toc175097371"/>
      <w:r>
        <w:rPr>
          <w:rFonts w:hint="eastAsia" w:cs="宋体"/>
          <w:b w:val="0"/>
          <w:bCs/>
          <w:color w:val="auto"/>
          <w:sz w:val="21"/>
          <w:szCs w:val="21"/>
          <w:highlight w:val="none"/>
        </w:rPr>
        <w:t>第2条 发包人</w:t>
      </w:r>
      <w:bookmarkEnd w:id="923"/>
      <w:bookmarkEnd w:id="924"/>
      <w:bookmarkEnd w:id="925"/>
      <w:bookmarkEnd w:id="926"/>
      <w:bookmarkEnd w:id="927"/>
      <w:bookmarkEnd w:id="928"/>
      <w:bookmarkEnd w:id="929"/>
    </w:p>
    <w:p w14:paraId="24C66C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提供施工现场和工作条件</w:t>
      </w:r>
    </w:p>
    <w:p w14:paraId="5F75C5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提供施工现场</w:t>
      </w:r>
    </w:p>
    <w:p w14:paraId="02DDC7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关于发包人提供施工现场的范围和期限：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0A72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提供工作条件</w:t>
      </w:r>
    </w:p>
    <w:p w14:paraId="6F43C7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关于发包人应负责提供的工作条件包括：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A57A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提供基础资料</w:t>
      </w:r>
    </w:p>
    <w:p w14:paraId="378DE8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关于发包人应提供的基础资料的范围和期限：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AA11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支付合同价款</w:t>
      </w:r>
    </w:p>
    <w:p w14:paraId="058AA0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 发包人提供资金来源证明及资金安排的期限要求：</w:t>
      </w:r>
      <w:r>
        <w:rPr>
          <w:rFonts w:hint="eastAsia" w:ascii="宋体" w:hAnsi="宋体" w:cs="宋体"/>
          <w:color w:val="auto"/>
          <w:szCs w:val="21"/>
          <w:highlight w:val="none"/>
          <w:u w:val="single"/>
        </w:rPr>
        <w:t xml:space="preserve">    不提供       </w:t>
      </w:r>
      <w:r>
        <w:rPr>
          <w:rFonts w:hint="eastAsia" w:ascii="宋体" w:hAnsi="宋体" w:cs="宋体"/>
          <w:color w:val="auto"/>
          <w:szCs w:val="21"/>
          <w:highlight w:val="none"/>
        </w:rPr>
        <w:t>。</w:t>
      </w:r>
    </w:p>
    <w:p w14:paraId="6407551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2.5.3 发包人提供支付担保的形式、期限、金额（或比例）：</w:t>
      </w:r>
      <w:r>
        <w:rPr>
          <w:rFonts w:hint="eastAsia" w:ascii="宋体" w:hAnsi="宋体" w:cs="宋体"/>
          <w:color w:val="auto"/>
          <w:szCs w:val="21"/>
          <w:highlight w:val="none"/>
          <w:u w:val="single"/>
        </w:rPr>
        <w:t xml:space="preserve">  提供支付担保</w:t>
      </w:r>
    </w:p>
    <w:p w14:paraId="68CDB3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发包人提供支付担保的形式：向承包人提交对等的支付担保。在承包人向发包人递交符合合同约定的履约担保的同时，发包人应当按照金额和条件对等的原则和</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中规定的格式或者其他经过承包人事先认可的格式向承包人递交一份支付担保。支付担保的有效期应当自本合同生效之日起至发包人实际支付竣工付款之日止。支付担保应在发包人付清竣工付款之日后28天内退还给发包人。承包人不承担发包人与支付担保有关的任何利息或其它类似的费用或者收益。</w:t>
      </w:r>
      <w:r>
        <w:rPr>
          <w:rFonts w:hint="eastAsia" w:ascii="宋体" w:hAnsi="宋体" w:cs="宋体"/>
          <w:color w:val="auto"/>
          <w:szCs w:val="21"/>
          <w:highlight w:val="none"/>
          <w:u w:val="single"/>
        </w:rPr>
        <w:t>支付担保的金额为签约合同价的</w:t>
      </w:r>
      <w:r>
        <w:rPr>
          <w:rFonts w:hint="eastAsia" w:ascii="宋体" w:hAnsi="宋体" w:cs="宋体"/>
          <w:color w:val="auto"/>
          <w:szCs w:val="21"/>
          <w:highlight w:val="none"/>
          <w:u w:val="single"/>
          <w:lang w:eastAsia="zh"/>
        </w:rPr>
        <w:t>10</w:t>
      </w:r>
      <w:r>
        <w:rPr>
          <w:rFonts w:hint="eastAsia" w:ascii="宋体" w:hAnsi="宋体" w:cs="宋体"/>
          <w:color w:val="auto"/>
          <w:szCs w:val="21"/>
          <w:highlight w:val="none"/>
          <w:u w:val="single"/>
        </w:rPr>
        <w:t>%，形式为银行保函或第三方担保公司出具的保函。</w:t>
      </w:r>
    </w:p>
    <w:p w14:paraId="623D39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其他义务</w:t>
      </w:r>
    </w:p>
    <w:p w14:paraId="679C27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发包人应履行的其他义务：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7623F3">
      <w:pPr>
        <w:pStyle w:val="81"/>
        <w:spacing w:before="0" w:after="0"/>
        <w:ind w:firstLine="420" w:firstLineChars="200"/>
        <w:outlineLvl w:val="2"/>
        <w:rPr>
          <w:rFonts w:cs="宋体"/>
          <w:b w:val="0"/>
          <w:bCs/>
          <w:color w:val="auto"/>
          <w:sz w:val="21"/>
          <w:szCs w:val="21"/>
          <w:highlight w:val="none"/>
        </w:rPr>
      </w:pPr>
      <w:bookmarkStart w:id="930" w:name="_Toc17925"/>
      <w:bookmarkStart w:id="931" w:name="_Toc182248493"/>
      <w:bookmarkStart w:id="932" w:name="_Toc175097372"/>
      <w:bookmarkStart w:id="933" w:name="_Toc165036874"/>
      <w:bookmarkStart w:id="934" w:name="_Toc54862334"/>
      <w:bookmarkStart w:id="935" w:name="_Toc5869"/>
      <w:bookmarkStart w:id="936" w:name="_Toc30692"/>
      <w:r>
        <w:rPr>
          <w:rFonts w:hint="eastAsia" w:cs="宋体"/>
          <w:b w:val="0"/>
          <w:bCs/>
          <w:color w:val="auto"/>
          <w:sz w:val="21"/>
          <w:szCs w:val="21"/>
          <w:highlight w:val="none"/>
        </w:rPr>
        <w:t>第3条 发包人的管理</w:t>
      </w:r>
      <w:bookmarkEnd w:id="930"/>
      <w:bookmarkEnd w:id="931"/>
      <w:bookmarkEnd w:id="932"/>
      <w:bookmarkEnd w:id="933"/>
      <w:bookmarkEnd w:id="934"/>
      <w:bookmarkEnd w:id="935"/>
      <w:bookmarkEnd w:id="936"/>
    </w:p>
    <w:p w14:paraId="184DC8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 发包人代表</w:t>
      </w:r>
    </w:p>
    <w:p w14:paraId="70B780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发包人代表的姓名：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EBF35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发包人代表的身份证号：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C519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发包人代表的职务：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C450F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发包人代表的联系电话：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E4ED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发包人代表的电子邮箱：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4BC8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发包人代表的通信地址：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84F0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D4D5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发包人代表的职责：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6152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 发包人人员</w:t>
      </w:r>
    </w:p>
    <w:p w14:paraId="0D67B7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发包人人员姓名：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4BB9A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发包人人员职务：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A99A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发包人人员职责：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3AAC7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 工程师</w:t>
      </w:r>
    </w:p>
    <w:p w14:paraId="6EA2E7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工程师名称：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；工程师监督管理范围、内容：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；工程师权限：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0A00E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 商定或确定</w:t>
      </w:r>
    </w:p>
    <w:p w14:paraId="3DC207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3.6.2 关于商定时间限制的具体约定：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0B95F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 关于商定或确定效力的具体约定：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；关于对工程师的确定提出异议的具体约定：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40B3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 会议</w:t>
      </w:r>
    </w:p>
    <w:p w14:paraId="3DD8DB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3.7.1 关于召开会议的具体约定：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DBFF0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3.7.2 关于保存和提供会议纪要的具体约定：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F23D22">
      <w:pPr>
        <w:pStyle w:val="81"/>
        <w:spacing w:before="0" w:after="0"/>
        <w:ind w:firstLine="420" w:firstLineChars="200"/>
        <w:outlineLvl w:val="2"/>
        <w:rPr>
          <w:rFonts w:cs="宋体"/>
          <w:b w:val="0"/>
          <w:bCs/>
          <w:color w:val="auto"/>
          <w:sz w:val="21"/>
          <w:szCs w:val="21"/>
          <w:highlight w:val="none"/>
        </w:rPr>
      </w:pPr>
      <w:bookmarkStart w:id="937" w:name="_Toc175097373"/>
      <w:bookmarkStart w:id="938" w:name="_Toc22836"/>
      <w:bookmarkStart w:id="939" w:name="_Toc182248494"/>
      <w:bookmarkStart w:id="940" w:name="_Toc3464"/>
      <w:bookmarkStart w:id="941" w:name="_Toc165036875"/>
      <w:bookmarkStart w:id="942" w:name="_Toc25742"/>
      <w:bookmarkStart w:id="943" w:name="_Toc54862335"/>
      <w:r>
        <w:rPr>
          <w:rFonts w:hint="eastAsia" w:cs="宋体"/>
          <w:b w:val="0"/>
          <w:bCs/>
          <w:color w:val="auto"/>
          <w:sz w:val="21"/>
          <w:szCs w:val="21"/>
          <w:highlight w:val="none"/>
        </w:rPr>
        <w:t>第4条 承包人</w:t>
      </w:r>
      <w:bookmarkEnd w:id="937"/>
      <w:bookmarkEnd w:id="938"/>
      <w:bookmarkEnd w:id="939"/>
      <w:bookmarkEnd w:id="940"/>
      <w:bookmarkEnd w:id="941"/>
      <w:bookmarkEnd w:id="942"/>
      <w:bookmarkEnd w:id="943"/>
    </w:p>
    <w:p w14:paraId="6A9E93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 承包人的一般义务</w:t>
      </w:r>
    </w:p>
    <w:p w14:paraId="5A212F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承包人应履行的其他义务：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EC00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 履约担保</w:t>
      </w:r>
    </w:p>
    <w:p w14:paraId="045A746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需要缴纳履约担保      。</w:t>
      </w:r>
    </w:p>
    <w:p w14:paraId="3FDBC9B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履约担保的方式、金额及期限: 以银行转账或保函形式缴纳 ，在合同签订之前缴纳合同金额的</w:t>
      </w:r>
      <w:r>
        <w:rPr>
          <w:rFonts w:hint="eastAsia" w:ascii="宋体" w:hAnsi="宋体" w:cs="宋体"/>
          <w:color w:val="auto"/>
          <w:szCs w:val="21"/>
          <w:highlight w:val="none"/>
          <w:u w:val="single"/>
          <w:lang w:eastAsia="zh"/>
        </w:rPr>
        <w:t>10</w:t>
      </w:r>
      <w:r>
        <w:rPr>
          <w:rFonts w:hint="eastAsia" w:ascii="宋体" w:hAnsi="宋体" w:cs="宋体"/>
          <w:color w:val="auto"/>
          <w:szCs w:val="21"/>
          <w:highlight w:val="none"/>
          <w:u w:val="single"/>
        </w:rPr>
        <w:t xml:space="preserve">% ； </w:t>
      </w:r>
      <w:r>
        <w:rPr>
          <w:rFonts w:hint="eastAsia" w:ascii="宋体" w:hAnsi="宋体"/>
          <w:color w:val="auto"/>
          <w:szCs w:val="21"/>
          <w:highlight w:val="none"/>
          <w:u w:val="single"/>
        </w:rPr>
        <w:t>合同履约完成后，无质量问题一次性退还</w:t>
      </w:r>
      <w:r>
        <w:rPr>
          <w:rFonts w:hint="eastAsia" w:ascii="宋体" w:hAnsi="宋体" w:cs="宋体"/>
          <w:color w:val="auto"/>
          <w:szCs w:val="21"/>
          <w:highlight w:val="none"/>
          <w:u w:val="single"/>
        </w:rPr>
        <w:t>。如在本项目合同履行期间，按合同约定,承包人发生相关违约行为，其违约金将从履约保证金中扣除，剩余部分无息退还；当履约保证金不足以支付其违约金时，差额部分将从承包人合同金额中扣除。</w:t>
      </w:r>
    </w:p>
    <w:p w14:paraId="306B4C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工程总承包项目经理</w:t>
      </w:r>
    </w:p>
    <w:p w14:paraId="7B43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 工程总承包项目经理姓名：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7A6C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执业资格或职称类型：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ECF0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执业资格证或职称证号码：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ED86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CBA1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95EC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F8DE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承包人未提交劳动合同，以及没有为工程总承包项目经理缴纳社会保险证明的违约责任：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2C36B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4.3.2 工程总承包项目经理每月在现场的时间要求：</w:t>
      </w:r>
      <w:r>
        <w:rPr>
          <w:rFonts w:hint="eastAsia" w:ascii="宋体" w:hAnsi="宋体" w:cs="宋体"/>
          <w:color w:val="auto"/>
          <w:szCs w:val="21"/>
          <w:highlight w:val="none"/>
          <w:u w:val="single"/>
        </w:rPr>
        <w:t xml:space="preserve">  </w:t>
      </w:r>
      <w:r>
        <w:rPr>
          <w:rFonts w:hint="eastAsia" w:ascii="宋体" w:hAnsi="宋体" w:cs="宋体"/>
          <w:color w:val="auto"/>
          <w:spacing w:val="2"/>
          <w:szCs w:val="21"/>
          <w:highlight w:val="none"/>
          <w:u w:val="single"/>
        </w:rPr>
        <w:t>每月不少于二十四天、每天不少于八小时现场工作。（由</w:t>
      </w:r>
      <w:r>
        <w:rPr>
          <w:rFonts w:hint="eastAsia" w:ascii="宋体" w:hAnsi="宋体" w:cs="宋体"/>
          <w:color w:val="auto"/>
          <w:spacing w:val="2"/>
          <w:szCs w:val="21"/>
          <w:highlight w:val="none"/>
          <w:u w:val="single"/>
          <w:lang w:eastAsia="zh"/>
          <w:woUserID w:val="1"/>
        </w:rPr>
        <w:t>业主</w:t>
      </w:r>
      <w:r>
        <w:rPr>
          <w:rFonts w:hint="eastAsia" w:ascii="宋体" w:hAnsi="宋体" w:cs="宋体"/>
          <w:color w:val="auto"/>
          <w:spacing w:val="2"/>
          <w:szCs w:val="21"/>
          <w:highlight w:val="none"/>
          <w:u w:val="single"/>
        </w:rPr>
        <w:t>负责考核）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CF0A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工程总承包项目经理未经批准擅自离开施工现场的违约责任：</w:t>
      </w:r>
      <w:r>
        <w:rPr>
          <w:rFonts w:hint="eastAsia" w:ascii="宋体" w:hAnsi="宋体" w:cs="宋体"/>
          <w:color w:val="auto"/>
          <w:szCs w:val="21"/>
          <w:highlight w:val="none"/>
          <w:u w:val="single"/>
        </w:rPr>
        <w:t xml:space="preserve">  </w:t>
      </w:r>
      <w:r>
        <w:rPr>
          <w:rFonts w:hint="eastAsia" w:ascii="宋体" w:hAnsi="宋体" w:cs="宋体"/>
          <w:color w:val="auto"/>
          <w:spacing w:val="2"/>
          <w:szCs w:val="21"/>
          <w:highlight w:val="none"/>
          <w:u w:val="single"/>
        </w:rPr>
        <w:t>每人每少一天承包人承担违约金9000元，如累计到位率未达到总到位率的80%（到位率由</w:t>
      </w:r>
      <w:r>
        <w:rPr>
          <w:rFonts w:hint="eastAsia" w:ascii="宋体" w:hAnsi="宋体" w:cs="宋体"/>
          <w:color w:val="auto"/>
          <w:spacing w:val="2"/>
          <w:szCs w:val="21"/>
          <w:highlight w:val="none"/>
          <w:u w:val="single"/>
          <w:lang w:eastAsia="zh"/>
          <w:woUserID w:val="1"/>
        </w:rPr>
        <w:t>业主</w:t>
      </w:r>
      <w:r>
        <w:rPr>
          <w:rFonts w:hint="eastAsia" w:ascii="宋体" w:hAnsi="宋体" w:cs="宋体"/>
          <w:color w:val="auto"/>
          <w:spacing w:val="2"/>
          <w:szCs w:val="21"/>
          <w:highlight w:val="none"/>
          <w:u w:val="single"/>
        </w:rPr>
        <w:t>考核），则承包人将承担合同价2%的违约金。</w:t>
      </w:r>
      <w:r>
        <w:rPr>
          <w:rFonts w:hint="eastAsia" w:ascii="宋体" w:hAnsi="宋体" w:cs="宋体"/>
          <w:color w:val="auto"/>
          <w:szCs w:val="21"/>
          <w:highlight w:val="none"/>
          <w:u w:val="single"/>
        </w:rPr>
        <w:t xml:space="preserve">  </w:t>
      </w:r>
    </w:p>
    <w:p w14:paraId="1B2C67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4.3.3 承包人对工程总承包项目经理的授权范围: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AA3F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4.3.4 承包人擅自更换工程总承包项目经理的违约责任：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4795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4.3.5 承包人无正当理由拒绝更换工程总承包项目经理的违约责任: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203B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 承包人人员</w:t>
      </w:r>
    </w:p>
    <w:p w14:paraId="60C14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4.4.1 人员安排</w:t>
      </w:r>
    </w:p>
    <w:p w14:paraId="397C17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承包人提交项目管理机构及施工现场人员安排的报告的期限：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773AB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承包人提交关键人员信息及注册执业资格等证明其具备担任关键人员能力的相关文件的期限：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889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4.4.2 关键人员更换</w:t>
      </w:r>
    </w:p>
    <w:p w14:paraId="50569F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承包人擅自更换关键人员的违约责任：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BEC2F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承包人无正当理由拒绝撤换关键人员的违约责任：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0B46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4.4.3 现场管理关键人员在岗要求</w:t>
      </w:r>
    </w:p>
    <w:p w14:paraId="5D7322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承包人现场管理关键人员离开施工现场的批准要求：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F723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承包人现场管理关键人员擅自离开施工现场的违约责任：</w:t>
      </w:r>
      <w:r>
        <w:rPr>
          <w:rFonts w:hint="eastAsia" w:ascii="宋体" w:hAnsi="宋体" w:cs="宋体"/>
          <w:color w:val="auto"/>
          <w:szCs w:val="21"/>
          <w:highlight w:val="none"/>
          <w:u w:val="single"/>
        </w:rPr>
        <w:t xml:space="preserve">    </w:t>
      </w:r>
      <w:r>
        <w:rPr>
          <w:rFonts w:hint="eastAsia" w:ascii="宋体" w:hAnsi="宋体" w:cs="宋体"/>
          <w:color w:val="auto"/>
          <w:spacing w:val="2"/>
          <w:szCs w:val="21"/>
          <w:highlight w:val="none"/>
          <w:u w:val="single"/>
        </w:rPr>
        <w:t>每人每少一天承包人承担违约金2000元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6E06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 分包</w:t>
      </w:r>
    </w:p>
    <w:p w14:paraId="4E8BF8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4.5.1 一般约定</w:t>
      </w:r>
    </w:p>
    <w:p w14:paraId="55EE59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 xml:space="preserve">      本项目不允许分包      </w:t>
      </w:r>
      <w:r>
        <w:rPr>
          <w:rFonts w:hint="eastAsia" w:ascii="宋体" w:hAnsi="宋体" w:cs="宋体"/>
          <w:color w:val="auto"/>
          <w:szCs w:val="21"/>
          <w:highlight w:val="none"/>
        </w:rPr>
        <w:t>。</w:t>
      </w:r>
    </w:p>
    <w:p w14:paraId="03A27B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4.5.2 分包的确定</w:t>
      </w:r>
    </w:p>
    <w:p w14:paraId="1FEEE9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允许分包的工程包括：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0C4F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688A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4.5.5 分包合同价款支付</w:t>
      </w:r>
    </w:p>
    <w:p w14:paraId="759B81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E212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 联合体</w:t>
      </w:r>
    </w:p>
    <w:p w14:paraId="001EC5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4.6.2 联合体各成员的分工、费用收取、发票开具等事项：</w:t>
      </w:r>
      <w:r>
        <w:rPr>
          <w:rFonts w:hint="eastAsia" w:ascii="宋体" w:hAnsi="宋体" w:cs="宋体"/>
          <w:color w:val="auto"/>
          <w:szCs w:val="21"/>
          <w:highlight w:val="none"/>
          <w:u w:val="single"/>
        </w:rPr>
        <w:t xml:space="preserve">  本项目部不接受联合体 </w:t>
      </w:r>
      <w:r>
        <w:rPr>
          <w:rFonts w:hint="eastAsia" w:ascii="宋体" w:hAnsi="宋体" w:cs="宋体"/>
          <w:color w:val="auto"/>
          <w:szCs w:val="21"/>
          <w:highlight w:val="none"/>
        </w:rPr>
        <w:t>。</w:t>
      </w:r>
    </w:p>
    <w:p w14:paraId="271C8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 承包人现场查勘</w:t>
      </w:r>
    </w:p>
    <w:p w14:paraId="1DCCBA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4.7.1 双方当事人对现场查勘的责任承担的约定：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5E9A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 不可预见的困难</w:t>
      </w:r>
    </w:p>
    <w:p w14:paraId="614A9A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不可预见的困难包括：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6224FA">
      <w:pPr>
        <w:pStyle w:val="81"/>
        <w:spacing w:before="0" w:after="0"/>
        <w:ind w:firstLine="420" w:firstLineChars="200"/>
        <w:outlineLvl w:val="2"/>
        <w:rPr>
          <w:rFonts w:cs="宋体"/>
          <w:b w:val="0"/>
          <w:bCs/>
          <w:color w:val="auto"/>
          <w:sz w:val="21"/>
          <w:szCs w:val="21"/>
          <w:highlight w:val="none"/>
        </w:rPr>
      </w:pPr>
      <w:bookmarkStart w:id="944" w:name="_Toc175097374"/>
      <w:bookmarkStart w:id="945" w:name="_Toc14838"/>
      <w:bookmarkStart w:id="946" w:name="_Toc165036876"/>
      <w:bookmarkStart w:id="947" w:name="_Toc182248495"/>
      <w:bookmarkStart w:id="948" w:name="_Toc54862336"/>
      <w:bookmarkStart w:id="949" w:name="_Toc2988"/>
      <w:bookmarkStart w:id="950" w:name="_Toc13869"/>
      <w:r>
        <w:rPr>
          <w:rFonts w:hint="eastAsia" w:cs="宋体"/>
          <w:b w:val="0"/>
          <w:bCs/>
          <w:color w:val="auto"/>
          <w:sz w:val="21"/>
          <w:szCs w:val="21"/>
          <w:highlight w:val="none"/>
        </w:rPr>
        <w:t>第5条 设计</w:t>
      </w:r>
      <w:bookmarkEnd w:id="944"/>
      <w:bookmarkEnd w:id="945"/>
      <w:bookmarkEnd w:id="946"/>
      <w:bookmarkEnd w:id="947"/>
      <w:bookmarkEnd w:id="948"/>
      <w:bookmarkEnd w:id="949"/>
      <w:bookmarkEnd w:id="950"/>
    </w:p>
    <w:p w14:paraId="0F6F37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 承包人文件审查</w:t>
      </w:r>
    </w:p>
    <w:p w14:paraId="16B56C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5.2.1 承包人文件审查的期限：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8F954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5.2.2 审查会议的审查形式和时间安排为：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，审查会议的相关费用由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承担。</w:t>
      </w:r>
    </w:p>
    <w:p w14:paraId="5455B0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5.2.3 关于第三方审查单位的约定：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C935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培训</w:t>
      </w:r>
    </w:p>
    <w:p w14:paraId="5816E1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培训的时长为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，承包人应为培训提供的人员、设施和其它必要条件为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35448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 竣工文件</w:t>
      </w:r>
    </w:p>
    <w:p w14:paraId="2FE565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5.4.1 竣工文件的形式、提供的份数、技术标准以及其它相关要求：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10C6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5.4.3 关于竣工文件的其他约定：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15EAB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 操作和维修手册</w:t>
      </w:r>
    </w:p>
    <w:p w14:paraId="32A85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5.5.3 对最终操作和维修手册的约定：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E984DA">
      <w:pPr>
        <w:pStyle w:val="81"/>
        <w:spacing w:before="0" w:after="0"/>
        <w:ind w:firstLine="420" w:firstLineChars="200"/>
        <w:outlineLvl w:val="2"/>
        <w:rPr>
          <w:rFonts w:cs="宋体"/>
          <w:b w:val="0"/>
          <w:bCs/>
          <w:color w:val="auto"/>
          <w:sz w:val="21"/>
          <w:szCs w:val="21"/>
          <w:highlight w:val="none"/>
        </w:rPr>
      </w:pPr>
      <w:bookmarkStart w:id="951" w:name="_Toc29604"/>
      <w:bookmarkStart w:id="952" w:name="_Toc182248496"/>
      <w:bookmarkStart w:id="953" w:name="_Toc165036877"/>
      <w:bookmarkStart w:id="954" w:name="_Toc54862337"/>
      <w:bookmarkStart w:id="955" w:name="_Toc14148"/>
      <w:bookmarkStart w:id="956" w:name="_Toc19016"/>
      <w:bookmarkStart w:id="957" w:name="_Toc175097375"/>
      <w:r>
        <w:rPr>
          <w:rFonts w:hint="eastAsia" w:cs="宋体"/>
          <w:b w:val="0"/>
          <w:bCs/>
          <w:color w:val="auto"/>
          <w:sz w:val="21"/>
          <w:szCs w:val="21"/>
          <w:highlight w:val="none"/>
        </w:rPr>
        <w:t>第6条 材料、工程设备</w:t>
      </w:r>
      <w:bookmarkEnd w:id="951"/>
      <w:bookmarkEnd w:id="952"/>
      <w:bookmarkEnd w:id="953"/>
      <w:bookmarkEnd w:id="954"/>
      <w:bookmarkEnd w:id="955"/>
      <w:bookmarkEnd w:id="956"/>
      <w:bookmarkEnd w:id="957"/>
    </w:p>
    <w:p w14:paraId="34B24F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 实施方法</w:t>
      </w:r>
    </w:p>
    <w:p w14:paraId="67DB0F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双方当事人约定的实施方法、设备、设施和材料：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64B2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 材料和工程设备</w:t>
      </w:r>
    </w:p>
    <w:p w14:paraId="42D055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 发包人提供的材料和工程设备</w:t>
      </w:r>
    </w:p>
    <w:p w14:paraId="463645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发包人提供的材料和工程设备验收后，由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负责接收、运输和保管。</w:t>
      </w:r>
    </w:p>
    <w:p w14:paraId="7F976A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 承包人提供的材料和工程设备</w:t>
      </w:r>
    </w:p>
    <w:p w14:paraId="607F01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材料和工程设备的类别、估算数量：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EFD0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竣工后试验的生产性材料的类别或（和）清单：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6CCB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6.2.3 材料和工程设备的保管</w:t>
      </w:r>
    </w:p>
    <w:p w14:paraId="7906A1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发包人供应的材料和工程设备的保管费用由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承担。</w:t>
      </w:r>
    </w:p>
    <w:p w14:paraId="1A05AE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承包人提交保管、维护方案的时间：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D75CF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发包人提供的库房、堆场、设施和设备：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9ABA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 样品</w:t>
      </w:r>
    </w:p>
    <w:p w14:paraId="1E89A6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6.3.1 样品的报送与封存</w:t>
      </w:r>
    </w:p>
    <w:p w14:paraId="6F3225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需要承包人报送样品的材料或工程设备，样品种类、名称、规格、数量：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C717B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 质量检查</w:t>
      </w:r>
    </w:p>
    <w:p w14:paraId="79554D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6.4.1 工程质量要求</w:t>
      </w:r>
    </w:p>
    <w:p w14:paraId="39E78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工程质量的特殊标准或要求：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ECF9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6.4.2 质量检查</w:t>
      </w:r>
    </w:p>
    <w:p w14:paraId="32484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除通用合同条件已列明的质量检查的地点外，发包人有权进行质量检查的其他地点：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05AD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6.4.3 隐蔽工程检查</w:t>
      </w:r>
    </w:p>
    <w:p w14:paraId="3E0B8B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关于隐蔽工程和中间验收的特别约定：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70F2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 由承包人试验和检验</w:t>
      </w:r>
    </w:p>
    <w:p w14:paraId="64AB31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6.5.1 试验设备与试验人员</w:t>
      </w:r>
    </w:p>
    <w:p w14:paraId="617F72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试验的内容、时间和地点：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9AED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试验所需要的试验设备、取样装置、试验场所和试验条件：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A8F27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试验和检验费用的计价原则：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C96AE3">
      <w:pPr>
        <w:pStyle w:val="81"/>
        <w:spacing w:before="0" w:after="0"/>
        <w:ind w:firstLine="422" w:firstLineChars="200"/>
        <w:outlineLvl w:val="2"/>
        <w:rPr>
          <w:rFonts w:cs="宋体"/>
          <w:color w:val="auto"/>
          <w:sz w:val="21"/>
          <w:szCs w:val="21"/>
          <w:highlight w:val="none"/>
        </w:rPr>
      </w:pPr>
      <w:bookmarkStart w:id="958" w:name="_Toc7893"/>
      <w:bookmarkStart w:id="959" w:name="_Toc175097376"/>
      <w:bookmarkStart w:id="960" w:name="_Toc165036878"/>
      <w:bookmarkStart w:id="961" w:name="_Toc54862338"/>
      <w:bookmarkStart w:id="962" w:name="_Toc32620"/>
      <w:bookmarkStart w:id="963" w:name="_Toc182248497"/>
      <w:bookmarkStart w:id="964" w:name="_Toc13900"/>
      <w:r>
        <w:rPr>
          <w:rFonts w:hint="eastAsia" w:cs="宋体"/>
          <w:color w:val="auto"/>
          <w:sz w:val="21"/>
          <w:szCs w:val="21"/>
          <w:highlight w:val="none"/>
        </w:rPr>
        <w:t>第7条 施工</w:t>
      </w:r>
      <w:bookmarkEnd w:id="958"/>
      <w:bookmarkEnd w:id="959"/>
      <w:bookmarkEnd w:id="960"/>
      <w:bookmarkEnd w:id="961"/>
      <w:bookmarkEnd w:id="962"/>
      <w:bookmarkEnd w:id="963"/>
      <w:bookmarkEnd w:id="964"/>
    </w:p>
    <w:p w14:paraId="45DCA4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 交通运输</w:t>
      </w:r>
    </w:p>
    <w:p w14:paraId="595AAA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7.1.1 出入现场的权利</w:t>
      </w:r>
    </w:p>
    <w:p w14:paraId="4BDA15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557B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7.1.2 场外交通</w:t>
      </w:r>
    </w:p>
    <w:p w14:paraId="33591D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关于场外交通的特别约定：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6E7B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7.1.3 场内交通</w:t>
      </w:r>
    </w:p>
    <w:p w14:paraId="75E178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关于场内交通的特别约定：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6051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关于场内交通与场外交通边界的约定：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EF360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7.1.4 超大件和超重件的运输</w:t>
      </w:r>
    </w:p>
    <w:p w14:paraId="45601C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承担。</w:t>
      </w:r>
    </w:p>
    <w:p w14:paraId="7A637B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 施工设备和临时设施</w:t>
      </w:r>
    </w:p>
    <w:p w14:paraId="77FE6C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7.2.1 承包人提供的施工设备和临时设施</w:t>
      </w:r>
    </w:p>
    <w:p w14:paraId="71007F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临时设施的费用和临时占地手续和费用承担的特别约定：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6DB6E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7.2.2 发包人提供的施工设备和临时设施</w:t>
      </w:r>
    </w:p>
    <w:p w14:paraId="51A1B7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发包人提供的施工设备或临时设施范围：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6A2C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 现场合作</w:t>
      </w:r>
    </w:p>
    <w:p w14:paraId="34B8C6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关于现场合作费用的特别约定：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E053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 测量放线</w:t>
      </w:r>
    </w:p>
    <w:p w14:paraId="3C6873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7.4.1 关于测量放线的特别约定的技术规范：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。施工控制网资料的告知期限：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52A9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 现场劳动用工</w:t>
      </w:r>
    </w:p>
    <w:p w14:paraId="16F941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7.5.2 合同当事人对建筑工人工资清偿事宜和违约责任的约定：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01E9D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 安全文明施工</w:t>
      </w:r>
    </w:p>
    <w:p w14:paraId="50F598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7.6.1 安全生产要求</w:t>
      </w:r>
    </w:p>
    <w:p w14:paraId="64E6DA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合同当事人对安全施工的要求：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2BDF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7.6.3 文明施工</w:t>
      </w:r>
    </w:p>
    <w:p w14:paraId="346349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5383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7.9 临时性公用设施</w:t>
      </w:r>
    </w:p>
    <w:p w14:paraId="654740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关于临时性公用设施的特别约定：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97D65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7.10 现场安保</w:t>
      </w:r>
    </w:p>
    <w:p w14:paraId="044EC6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承包人现场安保义务的特别约定：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DF937BF">
      <w:pPr>
        <w:pStyle w:val="81"/>
        <w:spacing w:before="0" w:after="0"/>
        <w:ind w:firstLine="420" w:firstLineChars="200"/>
        <w:outlineLvl w:val="2"/>
        <w:rPr>
          <w:rFonts w:cs="宋体"/>
          <w:b w:val="0"/>
          <w:bCs/>
          <w:color w:val="auto"/>
          <w:sz w:val="21"/>
          <w:szCs w:val="21"/>
          <w:highlight w:val="none"/>
        </w:rPr>
      </w:pPr>
      <w:bookmarkStart w:id="965" w:name="_Toc182248498"/>
      <w:bookmarkStart w:id="966" w:name="_Toc21656"/>
      <w:bookmarkStart w:id="967" w:name="_Toc54862339"/>
      <w:bookmarkStart w:id="968" w:name="_Toc165036879"/>
      <w:bookmarkStart w:id="969" w:name="_Toc30949"/>
      <w:bookmarkStart w:id="970" w:name="_Toc384"/>
      <w:bookmarkStart w:id="971" w:name="_Toc175097377"/>
      <w:r>
        <w:rPr>
          <w:rFonts w:hint="eastAsia" w:cs="宋体"/>
          <w:b w:val="0"/>
          <w:bCs/>
          <w:color w:val="auto"/>
          <w:sz w:val="21"/>
          <w:szCs w:val="21"/>
          <w:highlight w:val="none"/>
        </w:rPr>
        <w:t>第8条 工期和进度</w:t>
      </w:r>
      <w:bookmarkEnd w:id="965"/>
      <w:bookmarkEnd w:id="966"/>
      <w:bookmarkEnd w:id="967"/>
      <w:bookmarkEnd w:id="968"/>
      <w:bookmarkEnd w:id="969"/>
      <w:bookmarkEnd w:id="970"/>
      <w:bookmarkEnd w:id="971"/>
    </w:p>
    <w:p w14:paraId="7738DD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 开始工作</w:t>
      </w:r>
    </w:p>
    <w:p w14:paraId="7BAB19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8.1.1 开始准备工作：</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2B29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8.1.2 发包人可在计划开始工作之日起84日后发出开始工作通知的特殊情形：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41970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 竣工日期</w:t>
      </w:r>
    </w:p>
    <w:p w14:paraId="5C8C73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竣工日期的约定：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059C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 项目实施计划</w:t>
      </w:r>
    </w:p>
    <w:p w14:paraId="0A1474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8.3.1 项目实施计划的内容</w:t>
      </w:r>
    </w:p>
    <w:p w14:paraId="20DE80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项目实施计划的内容：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5F80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8.3.2 项目实施计划的提交和修改</w:t>
      </w:r>
    </w:p>
    <w:p w14:paraId="496F8A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项目实施计划的提交及修改期限：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46B2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 项目进度计划</w:t>
      </w:r>
    </w:p>
    <w:p w14:paraId="61119F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8.4.1 工程师在收到进度计划后确认或提出修改意见的期限：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9933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8.4.2 进度计划的具体要求：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B03A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关键路径及关键路径变化的确定原则：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1FF2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承包人提交项目进度计划的份数和时间：</w:t>
      </w:r>
      <w:r>
        <w:rPr>
          <w:rFonts w:hint="eastAsia" w:ascii="宋体" w:hAnsi="宋体" w:cs="宋体"/>
          <w:color w:val="auto"/>
          <w:szCs w:val="21"/>
          <w:highlight w:val="none"/>
          <w:u w:val="single"/>
        </w:rPr>
        <w:t xml:space="preserve">   接发包人通知           </w:t>
      </w:r>
      <w:r>
        <w:rPr>
          <w:rFonts w:hint="eastAsia" w:ascii="宋体" w:hAnsi="宋体" w:cs="宋体"/>
          <w:color w:val="auto"/>
          <w:szCs w:val="21"/>
          <w:highlight w:val="none"/>
        </w:rPr>
        <w:t>。</w:t>
      </w:r>
    </w:p>
    <w:p w14:paraId="52906B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8.4.3 进度计划的修订</w:t>
      </w:r>
    </w:p>
    <w:p w14:paraId="32C19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承包人提交修订项目进度计划申请报告的期限：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927F8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发包人批复修订项目进度计划申请报告的期限：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F260D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承包人答复发包人提出修订合同计划的期限：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5B49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8.5 进度报告</w:t>
      </w:r>
    </w:p>
    <w:p w14:paraId="5ADCCA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进度报告的具体要求：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80D02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8.7 工期延误</w:t>
      </w:r>
    </w:p>
    <w:p w14:paraId="1D5FD6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8.7.2 因承包人原因导致工期延误</w:t>
      </w:r>
    </w:p>
    <w:p w14:paraId="446F91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因承包人原因使竣工日期延误，每延误1日的误期赔偿金额为合同协议书的合同价格的</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%或人民币金额为：</w:t>
      </w:r>
      <w:r>
        <w:rPr>
          <w:rFonts w:hint="eastAsia" w:ascii="宋体" w:hAnsi="宋体" w:cs="宋体"/>
          <w:color w:val="auto"/>
          <w:szCs w:val="21"/>
          <w:highlight w:val="none"/>
          <w:u w:val="single"/>
        </w:rPr>
        <w:t xml:space="preserve"> 40000  </w:t>
      </w:r>
      <w:r>
        <w:rPr>
          <w:rFonts w:hint="eastAsia" w:ascii="宋体" w:hAnsi="宋体" w:cs="宋体"/>
          <w:color w:val="auto"/>
          <w:szCs w:val="21"/>
          <w:highlight w:val="none"/>
        </w:rPr>
        <w:t>、累计最高赔偿金额为合同协议书的合同价格的：</w:t>
      </w:r>
      <w:r>
        <w:rPr>
          <w:rFonts w:hint="eastAsia" w:ascii="宋体" w:hAnsi="宋体" w:cs="宋体"/>
          <w:color w:val="auto"/>
          <w:szCs w:val="21"/>
          <w:highlight w:val="none"/>
          <w:u w:val="single"/>
        </w:rPr>
        <w:t xml:space="preserve">  10  </w:t>
      </w:r>
      <w:r>
        <w:rPr>
          <w:rFonts w:hint="eastAsia" w:ascii="宋体" w:hAnsi="宋体" w:cs="宋体"/>
          <w:color w:val="auto"/>
          <w:szCs w:val="21"/>
          <w:highlight w:val="none"/>
        </w:rPr>
        <w:t>%或人民币金额为：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CFEC3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8.7.3 行政审批迟延</w:t>
      </w:r>
    </w:p>
    <w:p w14:paraId="6FF31B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行政审批报送的职责分工：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BF69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8.7.4 异常恶劣的气候条件</w:t>
      </w:r>
    </w:p>
    <w:p w14:paraId="00DE94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双方约定视为异常恶劣的气候条件的情形：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B534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8.8 工期提前</w:t>
      </w:r>
    </w:p>
    <w:p w14:paraId="791513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8.8.2 承包人提前竣工的奖励：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55E2D5">
      <w:pPr>
        <w:pStyle w:val="81"/>
        <w:spacing w:before="0" w:after="0"/>
        <w:ind w:firstLine="420" w:firstLineChars="200"/>
        <w:outlineLvl w:val="2"/>
        <w:rPr>
          <w:rFonts w:cs="宋体"/>
          <w:b w:val="0"/>
          <w:bCs/>
          <w:color w:val="auto"/>
          <w:sz w:val="21"/>
          <w:szCs w:val="21"/>
          <w:highlight w:val="none"/>
        </w:rPr>
      </w:pPr>
      <w:bookmarkStart w:id="972" w:name="_Toc54862340"/>
      <w:bookmarkStart w:id="973" w:name="_Toc17430"/>
      <w:bookmarkStart w:id="974" w:name="_Toc182248499"/>
      <w:bookmarkStart w:id="975" w:name="_Toc165036880"/>
      <w:bookmarkStart w:id="976" w:name="_Toc8251"/>
      <w:bookmarkStart w:id="977" w:name="_Toc175097378"/>
      <w:bookmarkStart w:id="978" w:name="_Toc155"/>
      <w:r>
        <w:rPr>
          <w:rFonts w:hint="eastAsia" w:cs="宋体"/>
          <w:b w:val="0"/>
          <w:bCs/>
          <w:color w:val="auto"/>
          <w:sz w:val="21"/>
          <w:szCs w:val="21"/>
          <w:highlight w:val="none"/>
        </w:rPr>
        <w:t>第9条 竣工试验</w:t>
      </w:r>
      <w:bookmarkEnd w:id="972"/>
      <w:bookmarkEnd w:id="973"/>
      <w:bookmarkEnd w:id="974"/>
      <w:bookmarkEnd w:id="975"/>
      <w:bookmarkEnd w:id="976"/>
      <w:bookmarkEnd w:id="977"/>
      <w:bookmarkEnd w:id="978"/>
    </w:p>
    <w:p w14:paraId="70BCE6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 竣工试验的义务</w:t>
      </w:r>
    </w:p>
    <w:p w14:paraId="2190E8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9.1.3 竣工试验的阶段、内容和顺序：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E4F36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竣工试验的操作要求：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248110">
      <w:pPr>
        <w:pStyle w:val="81"/>
        <w:spacing w:before="0" w:after="0"/>
        <w:ind w:firstLine="420" w:firstLineChars="200"/>
        <w:outlineLvl w:val="2"/>
        <w:rPr>
          <w:rFonts w:cs="宋体"/>
          <w:b w:val="0"/>
          <w:bCs/>
          <w:color w:val="auto"/>
          <w:sz w:val="21"/>
          <w:szCs w:val="21"/>
          <w:highlight w:val="none"/>
        </w:rPr>
      </w:pPr>
      <w:bookmarkStart w:id="979" w:name="_Toc4784272"/>
      <w:bookmarkEnd w:id="979"/>
      <w:bookmarkStart w:id="980" w:name="_Toc4784273"/>
      <w:bookmarkEnd w:id="980"/>
      <w:bookmarkStart w:id="981" w:name="_Toc5030"/>
      <w:bookmarkStart w:id="982" w:name="_Toc31434"/>
      <w:bookmarkStart w:id="983" w:name="_Toc22658"/>
      <w:bookmarkStart w:id="984" w:name="_Toc175097379"/>
      <w:bookmarkStart w:id="985" w:name="_Toc54862341"/>
      <w:bookmarkStart w:id="986" w:name="_Toc182248500"/>
      <w:bookmarkStart w:id="987" w:name="_Toc165036881"/>
      <w:r>
        <w:rPr>
          <w:rFonts w:hint="eastAsia" w:cs="宋体"/>
          <w:b w:val="0"/>
          <w:bCs/>
          <w:color w:val="auto"/>
          <w:sz w:val="21"/>
          <w:szCs w:val="21"/>
          <w:highlight w:val="none"/>
        </w:rPr>
        <w:t>第10条 验收和工程接收</w:t>
      </w:r>
      <w:bookmarkEnd w:id="981"/>
      <w:bookmarkEnd w:id="982"/>
      <w:bookmarkEnd w:id="983"/>
      <w:bookmarkEnd w:id="984"/>
      <w:bookmarkEnd w:id="985"/>
      <w:bookmarkEnd w:id="986"/>
      <w:bookmarkEnd w:id="987"/>
    </w:p>
    <w:p w14:paraId="00BFC8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 竣工验收</w:t>
      </w:r>
    </w:p>
    <w:p w14:paraId="591664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10.1.2 关于竣工验收程序的约定：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85CDE3">
      <w:pPr>
        <w:spacing w:line="360" w:lineRule="auto"/>
        <w:ind w:firstLine="420" w:firstLineChars="200"/>
        <w:rPr>
          <w:rFonts w:ascii="宋体" w:hAnsi="宋体" w:cs="宋体"/>
          <w:color w:val="auto"/>
          <w:szCs w:val="21"/>
          <w:highlight w:val="none"/>
        </w:rPr>
      </w:pPr>
      <w:bookmarkStart w:id="988" w:name="_Hlk46406260"/>
      <w:r>
        <w:rPr>
          <w:rFonts w:hint="eastAsia" w:ascii="宋体" w:hAnsi="宋体" w:cs="宋体"/>
          <w:color w:val="auto"/>
          <w:szCs w:val="21"/>
          <w:highlight w:val="none"/>
        </w:rPr>
        <w:t>发包人不按照合同约定组织竣工验收、颁发工程接受证书的违约金的计算方式：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988"/>
    <w:p w14:paraId="15999B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w:t>
      </w:r>
      <w:r>
        <w:rPr>
          <w:rFonts w:hint="eastAsia" w:ascii="宋体" w:hAnsi="宋体" w:cs="宋体"/>
          <w:color w:val="auto"/>
          <w:szCs w:val="21"/>
          <w:highlight w:val="none"/>
        </w:rPr>
        <w:tab/>
      </w:r>
      <w:r>
        <w:rPr>
          <w:rFonts w:hint="eastAsia" w:ascii="宋体" w:hAnsi="宋体" w:cs="宋体"/>
          <w:color w:val="auto"/>
          <w:szCs w:val="21"/>
          <w:highlight w:val="none"/>
        </w:rPr>
        <w:t xml:space="preserve"> 工程的接收</w:t>
      </w:r>
    </w:p>
    <w:p w14:paraId="5D38D9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10.3.1工程接收的先后顺序、时间安排和其他要求：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8163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10.3.2 接受工程时承包人需提交竣工验收资料的类别、内容、份数和提交时间：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E3F8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10.3.3 发包人逾期接收工程的违约责任：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C6A37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10.3.4 承包人无正当理由不移交工程的违约责任：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50E7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 接收证书</w:t>
      </w:r>
    </w:p>
    <w:p w14:paraId="2A6796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10.4.1 工程接收证书颁发时间：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4534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 竣工退场</w:t>
      </w:r>
    </w:p>
    <w:p w14:paraId="346C02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10.5.1 竣工退场的相关约定：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18A5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10.5.3人员撤离</w:t>
      </w:r>
    </w:p>
    <w:p w14:paraId="5DA8D0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工程师同意需在缺陷责任期内继续工作和使用的人员、施工设备和临时工程的内容：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7A957F">
      <w:pPr>
        <w:pStyle w:val="81"/>
        <w:spacing w:before="0" w:after="0"/>
        <w:ind w:firstLine="420" w:firstLineChars="200"/>
        <w:outlineLvl w:val="2"/>
        <w:rPr>
          <w:rFonts w:cs="宋体"/>
          <w:b w:val="0"/>
          <w:bCs/>
          <w:color w:val="auto"/>
          <w:sz w:val="21"/>
          <w:szCs w:val="21"/>
          <w:highlight w:val="none"/>
        </w:rPr>
      </w:pPr>
      <w:bookmarkStart w:id="989" w:name="_Toc6342"/>
      <w:bookmarkStart w:id="990" w:name="_Toc54862342"/>
      <w:bookmarkStart w:id="991" w:name="_Toc175097380"/>
      <w:bookmarkStart w:id="992" w:name="_Toc20242"/>
      <w:bookmarkStart w:id="993" w:name="_Toc182248501"/>
      <w:bookmarkStart w:id="994" w:name="_Toc165036882"/>
      <w:bookmarkStart w:id="995" w:name="_Toc29414"/>
      <w:r>
        <w:rPr>
          <w:rFonts w:hint="eastAsia" w:cs="宋体"/>
          <w:b w:val="0"/>
          <w:bCs/>
          <w:color w:val="auto"/>
          <w:sz w:val="21"/>
          <w:szCs w:val="21"/>
          <w:highlight w:val="none"/>
        </w:rPr>
        <w:t>第11条 缺陷责任与保修</w:t>
      </w:r>
      <w:bookmarkEnd w:id="989"/>
      <w:bookmarkEnd w:id="990"/>
      <w:bookmarkEnd w:id="991"/>
      <w:bookmarkEnd w:id="992"/>
      <w:bookmarkEnd w:id="993"/>
      <w:bookmarkEnd w:id="994"/>
      <w:bookmarkEnd w:id="995"/>
    </w:p>
    <w:p w14:paraId="77CAEA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 缺陷责任期</w:t>
      </w:r>
    </w:p>
    <w:p w14:paraId="4C2496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缺陷责任期的期限：</w:t>
      </w:r>
      <w:r>
        <w:rPr>
          <w:rFonts w:hint="eastAsia" w:ascii="宋体" w:hAnsi="宋体" w:cs="宋体"/>
          <w:color w:val="auto"/>
          <w:szCs w:val="21"/>
          <w:highlight w:val="none"/>
          <w:u w:val="single"/>
        </w:rPr>
        <w:t xml:space="preserve">  自验收合格后24个月             </w:t>
      </w:r>
      <w:r>
        <w:rPr>
          <w:rFonts w:hint="eastAsia" w:ascii="宋体" w:hAnsi="宋体" w:cs="宋体"/>
          <w:color w:val="auto"/>
          <w:szCs w:val="21"/>
          <w:highlight w:val="none"/>
        </w:rPr>
        <w:t>。</w:t>
      </w:r>
    </w:p>
    <w:p w14:paraId="6FB69D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缺陷调查</w:t>
      </w:r>
    </w:p>
    <w:p w14:paraId="17F466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 修复通知</w:t>
      </w:r>
    </w:p>
    <w:p w14:paraId="3F48E0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承包人收到保修通知并到达工程现场的合理时间：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6DA4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 缺陷责任期终止证书</w:t>
      </w:r>
    </w:p>
    <w:p w14:paraId="24B05B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承包人应于缺陷责任期届满后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天内向发包人发出缺陷责任期届满通知，发包人应在收到缺陷责任期满通知后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天内核实承包人是否履行缺陷修复义务，承包人未能履行缺陷修复义务的，发包人有权扣除相应金额的维修费用。发包人应在收到缺陷责任期届满通知后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天内，向承包人颁发缺陷责任期终止证书。</w:t>
      </w:r>
    </w:p>
    <w:p w14:paraId="7622B2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 保修责任</w:t>
      </w:r>
    </w:p>
    <w:p w14:paraId="6590C6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工程质量保修范围、期限和责任为：</w:t>
      </w:r>
      <w:r>
        <w:rPr>
          <w:rFonts w:hint="eastAsia" w:ascii="宋体" w:hAnsi="宋体" w:cs="宋体"/>
          <w:color w:val="auto"/>
          <w:szCs w:val="21"/>
          <w:highlight w:val="none"/>
          <w:u w:val="single"/>
        </w:rPr>
        <w:t xml:space="preserve">    详见房屋建筑工程质量保修书     </w:t>
      </w:r>
      <w:r>
        <w:rPr>
          <w:rFonts w:hint="eastAsia" w:ascii="宋体" w:hAnsi="宋体" w:cs="宋体"/>
          <w:color w:val="auto"/>
          <w:szCs w:val="21"/>
          <w:highlight w:val="none"/>
        </w:rPr>
        <w:t>。</w:t>
      </w:r>
    </w:p>
    <w:p w14:paraId="50ADAF5A">
      <w:pPr>
        <w:pStyle w:val="81"/>
        <w:spacing w:before="0" w:after="0"/>
        <w:ind w:firstLine="420" w:firstLineChars="200"/>
        <w:outlineLvl w:val="2"/>
        <w:rPr>
          <w:rFonts w:cs="宋体"/>
          <w:b w:val="0"/>
          <w:bCs/>
          <w:color w:val="auto"/>
          <w:sz w:val="21"/>
          <w:szCs w:val="21"/>
          <w:highlight w:val="none"/>
        </w:rPr>
      </w:pPr>
      <w:bookmarkStart w:id="996" w:name="_Toc54862343"/>
      <w:bookmarkStart w:id="997" w:name="_Toc182248502"/>
      <w:bookmarkStart w:id="998" w:name="_Toc6195"/>
      <w:bookmarkStart w:id="999" w:name="_Toc165036883"/>
      <w:bookmarkStart w:id="1000" w:name="_Toc17321"/>
      <w:bookmarkStart w:id="1001" w:name="_Toc9720"/>
      <w:bookmarkStart w:id="1002" w:name="_Toc175097381"/>
      <w:r>
        <w:rPr>
          <w:rFonts w:hint="eastAsia" w:cs="宋体"/>
          <w:b w:val="0"/>
          <w:bCs/>
          <w:color w:val="auto"/>
          <w:sz w:val="21"/>
          <w:szCs w:val="21"/>
          <w:highlight w:val="none"/>
        </w:rPr>
        <w:t>第12条 竣工后试验</w:t>
      </w:r>
      <w:bookmarkEnd w:id="996"/>
      <w:bookmarkEnd w:id="997"/>
      <w:bookmarkEnd w:id="998"/>
      <w:bookmarkEnd w:id="999"/>
      <w:bookmarkEnd w:id="1000"/>
      <w:bookmarkEnd w:id="1001"/>
      <w:bookmarkEnd w:id="1002"/>
    </w:p>
    <w:p w14:paraId="6336A8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本合同工程是否包含竣工后试验：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988C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竣工后试验的程序</w:t>
      </w:r>
    </w:p>
    <w:p w14:paraId="086D47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928F10">
      <w:pPr>
        <w:pStyle w:val="81"/>
        <w:spacing w:before="0" w:after="0"/>
        <w:ind w:firstLine="420" w:firstLineChars="200"/>
        <w:outlineLvl w:val="2"/>
        <w:rPr>
          <w:rFonts w:cs="宋体"/>
          <w:b w:val="0"/>
          <w:bCs/>
          <w:color w:val="auto"/>
          <w:sz w:val="21"/>
          <w:szCs w:val="21"/>
          <w:highlight w:val="none"/>
        </w:rPr>
      </w:pPr>
      <w:bookmarkStart w:id="1003" w:name="_Toc165036884"/>
      <w:bookmarkStart w:id="1004" w:name="_Toc175097382"/>
      <w:bookmarkStart w:id="1005" w:name="_Toc6292"/>
      <w:bookmarkStart w:id="1006" w:name="_Toc54862344"/>
      <w:bookmarkStart w:id="1007" w:name="_Toc26423"/>
      <w:bookmarkStart w:id="1008" w:name="_Toc182248503"/>
      <w:bookmarkStart w:id="1009" w:name="_Toc29992"/>
      <w:r>
        <w:rPr>
          <w:rFonts w:hint="eastAsia" w:cs="宋体"/>
          <w:b w:val="0"/>
          <w:bCs/>
          <w:color w:val="auto"/>
          <w:sz w:val="21"/>
          <w:szCs w:val="21"/>
          <w:highlight w:val="none"/>
        </w:rPr>
        <w:t>第13条 变更与调整</w:t>
      </w:r>
      <w:bookmarkEnd w:id="1003"/>
      <w:bookmarkEnd w:id="1004"/>
      <w:bookmarkEnd w:id="1005"/>
      <w:bookmarkEnd w:id="1006"/>
      <w:bookmarkEnd w:id="1007"/>
      <w:bookmarkEnd w:id="1008"/>
      <w:bookmarkEnd w:id="1009"/>
    </w:p>
    <w:p w14:paraId="4F9AD8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 承包人的合理化建议</w:t>
      </w:r>
    </w:p>
    <w:p w14:paraId="394C74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13.2.2 工程师应在收到承包人提交的合理化建议后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日内审查完毕并报送发包人，发现其中存在技术上的缺陷，应通知承包人修改。发包人应在收到工程师报送的合理化建议后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日内审批完毕。合理化建议经发包人批准的，工程师应及时发出变更指示，由此引起的合同价格调整按照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执行。发包人不同意变更的，工程师应书面通知承包人</w:t>
      </w:r>
    </w:p>
    <w:p w14:paraId="7E535B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13.2.3 承包人提出的合理化变更建议的利益分享约定：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DA0A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 变更程序</w:t>
      </w:r>
    </w:p>
    <w:p w14:paraId="57418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13.3.3 变更估价</w:t>
      </w:r>
    </w:p>
    <w:p w14:paraId="09ABEA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13.3.3.1 变更估价原则</w:t>
      </w:r>
    </w:p>
    <w:p w14:paraId="01C346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关于变更估价原则的约定：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63BB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 暂估价</w:t>
      </w:r>
    </w:p>
    <w:p w14:paraId="08D18A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13.4.1 依法必须招标的暂估价项目</w:t>
      </w:r>
    </w:p>
    <w:p w14:paraId="4A06B4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承包人可以参与投标的暂估价项目范围：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EE1E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承包人不得参与投标的暂估价项目范围：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13B9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招投标程序及其他约定：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54F18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13.4.2 不属于依法必须招标的暂估价项目</w:t>
      </w:r>
    </w:p>
    <w:p w14:paraId="3B6F20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不属于依法必须招标的暂估价项目的协商及估价的约定：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AA19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 暂列金额</w:t>
      </w:r>
    </w:p>
    <w:p w14:paraId="4A0DE7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其他关于暂列金额使用的约定：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9FDE4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13.8 市场价格波动引起的调整</w:t>
      </w:r>
    </w:p>
    <w:p w14:paraId="687974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13.8.2 关于是否采用《价格指数权重表》的约定：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6652B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13.8.3 关于采用其他方式调整合同价款的约定：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C328DF">
      <w:pPr>
        <w:pStyle w:val="81"/>
        <w:spacing w:before="0" w:after="0"/>
        <w:ind w:firstLine="420" w:firstLineChars="200"/>
        <w:outlineLvl w:val="2"/>
        <w:rPr>
          <w:rFonts w:cs="宋体"/>
          <w:b w:val="0"/>
          <w:bCs/>
          <w:color w:val="auto"/>
          <w:sz w:val="21"/>
          <w:szCs w:val="21"/>
          <w:highlight w:val="none"/>
        </w:rPr>
      </w:pPr>
      <w:bookmarkStart w:id="1010" w:name="_Toc182248504"/>
      <w:bookmarkStart w:id="1011" w:name="_Toc27984"/>
      <w:bookmarkStart w:id="1012" w:name="_Toc7557"/>
      <w:bookmarkStart w:id="1013" w:name="_Toc18470"/>
      <w:bookmarkStart w:id="1014" w:name="_Toc175097383"/>
      <w:bookmarkStart w:id="1015" w:name="_Toc54862345"/>
      <w:bookmarkStart w:id="1016" w:name="_Toc165036885"/>
      <w:r>
        <w:rPr>
          <w:rFonts w:hint="eastAsia" w:cs="宋体"/>
          <w:b w:val="0"/>
          <w:bCs/>
          <w:color w:val="auto"/>
          <w:sz w:val="21"/>
          <w:szCs w:val="21"/>
          <w:highlight w:val="none"/>
        </w:rPr>
        <w:t>第14条 合同价格与支付</w:t>
      </w:r>
      <w:bookmarkEnd w:id="1010"/>
      <w:bookmarkEnd w:id="1011"/>
      <w:bookmarkEnd w:id="1012"/>
      <w:bookmarkEnd w:id="1013"/>
      <w:bookmarkEnd w:id="1014"/>
      <w:bookmarkEnd w:id="1015"/>
      <w:bookmarkEnd w:id="1016"/>
    </w:p>
    <w:p w14:paraId="1FC3F4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合同价格形式</w:t>
      </w:r>
    </w:p>
    <w:p w14:paraId="36CF84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14.1.1 关于合同价格形式的约定：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E670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14.1.2 关于合同价格调整的约定：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33EE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14.1.3 按实际完成的工程量支付工程价款的计量方法、估价方法：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F5F8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预付款</w:t>
      </w:r>
    </w:p>
    <w:p w14:paraId="7687AA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14.2.1 预付款支付</w:t>
      </w:r>
    </w:p>
    <w:p w14:paraId="0F3E87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预付款的金额或比例为：</w:t>
      </w:r>
      <w:r>
        <w:rPr>
          <w:rFonts w:hint="eastAsia" w:ascii="宋体" w:hAnsi="宋体" w:cs="宋体"/>
          <w:color w:val="auto"/>
          <w:szCs w:val="21"/>
          <w:highlight w:val="none"/>
          <w:u w:val="single"/>
        </w:rPr>
        <w:t xml:space="preserve">       发包人向承包人支付人民币</w:t>
      </w:r>
      <w:r>
        <w:rPr>
          <w:rFonts w:hint="eastAsia" w:ascii="宋体" w:hAnsi="宋体" w:cs="宋体"/>
          <w:color w:val="auto"/>
          <w:szCs w:val="21"/>
          <w:highlight w:val="none"/>
          <w:u w:val="single"/>
          <w:lang w:eastAsia="zh"/>
          <w:woUserID w:val="4"/>
        </w:rPr>
        <w:t>30</w:t>
      </w:r>
      <w:r>
        <w:rPr>
          <w:rFonts w:hint="eastAsia" w:ascii="宋体" w:hAnsi="宋体" w:cs="宋体"/>
          <w:color w:val="auto"/>
          <w:szCs w:val="21"/>
          <w:highlight w:val="none"/>
          <w:u w:val="single"/>
        </w:rPr>
        <w:t xml:space="preserve">万元    </w:t>
      </w:r>
      <w:r>
        <w:rPr>
          <w:rFonts w:hint="eastAsia" w:ascii="宋体" w:hAnsi="宋体" w:cs="宋体"/>
          <w:color w:val="auto"/>
          <w:szCs w:val="21"/>
          <w:highlight w:val="none"/>
        </w:rPr>
        <w:t>。</w:t>
      </w:r>
    </w:p>
    <w:p w14:paraId="3FA10C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u w:val="single"/>
        </w:rPr>
        <w:t xml:space="preserve">     合同签订后，承包人向发包人提交了履约保函30日内   </w:t>
      </w:r>
      <w:r>
        <w:rPr>
          <w:rFonts w:hint="eastAsia" w:ascii="宋体" w:hAnsi="宋体" w:cs="宋体"/>
          <w:color w:val="auto"/>
          <w:szCs w:val="21"/>
          <w:highlight w:val="none"/>
        </w:rPr>
        <w:t>。</w:t>
      </w:r>
    </w:p>
    <w:p w14:paraId="003225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027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14.2.2预付款担保</w:t>
      </w:r>
    </w:p>
    <w:p w14:paraId="36245C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提供预付款担保期限：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C040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预付款担保形式：</w:t>
      </w:r>
      <w:r>
        <w:rPr>
          <w:rFonts w:hint="eastAsia" w:ascii="宋体" w:hAnsi="宋体" w:cs="宋体"/>
          <w:color w:val="auto"/>
          <w:szCs w:val="21"/>
          <w:highlight w:val="none"/>
          <w:u w:val="single"/>
        </w:rPr>
        <w:t xml:space="preserve">  预付款保函                    </w:t>
      </w:r>
      <w:r>
        <w:rPr>
          <w:rFonts w:hint="eastAsia" w:ascii="宋体" w:hAnsi="宋体" w:cs="宋体"/>
          <w:color w:val="auto"/>
          <w:szCs w:val="21"/>
          <w:highlight w:val="none"/>
        </w:rPr>
        <w:t>。</w:t>
      </w:r>
    </w:p>
    <w:p w14:paraId="6EFD65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工程进度款</w:t>
      </w:r>
    </w:p>
    <w:p w14:paraId="30222F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14.3.1 工程进度付款申请</w:t>
      </w:r>
    </w:p>
    <w:p w14:paraId="51644A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工程进度付款申请方式：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CA6574">
      <w:pPr>
        <w:spacing w:line="360" w:lineRule="auto"/>
        <w:ind w:firstLine="420" w:firstLineChars="200"/>
        <w:rPr>
          <w:rFonts w:hint="eastAsia" w:ascii="宋体" w:hAnsi="宋体" w:cs="宋体"/>
          <w:color w:val="auto"/>
          <w:szCs w:val="21"/>
          <w:highlight w:val="none"/>
          <w:u w:val="single"/>
          <w:lang w:eastAsia="zh"/>
        </w:rPr>
      </w:pPr>
      <w:r>
        <w:rPr>
          <w:rFonts w:hint="eastAsia" w:ascii="宋体" w:hAnsi="宋体" w:cs="宋体"/>
          <w:color w:val="auto"/>
          <w:szCs w:val="21"/>
          <w:highlight w:val="none"/>
        </w:rPr>
        <w:t>承包人提交进度付款申请单的格式、内容、份数和时间：</w:t>
      </w:r>
    </w:p>
    <w:p w14:paraId="1EA2D2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进度付款申请单应包括的内容：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E756E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14.3.2 进度付款审核和支付</w:t>
      </w:r>
    </w:p>
    <w:p w14:paraId="568DB6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进度付款的审核方式和支付的约定：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C9EA5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发包人应在进度款支付证书或临时进度款支付证书签发后的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天内完成支付，发包人逾期支付进度款的，应按照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支付违约金。</w:t>
      </w:r>
    </w:p>
    <w:p w14:paraId="4949BB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 付款计划表</w:t>
      </w:r>
    </w:p>
    <w:p w14:paraId="1D9120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14.4.1 付款计划表的编制要求：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0519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14.4.2 付款计划表的编制与审批</w:t>
      </w:r>
    </w:p>
    <w:p w14:paraId="6783C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付款计划表的编制：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B41B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 竣工结算</w:t>
      </w:r>
    </w:p>
    <w:p w14:paraId="495D96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14.5.1 竣工结算申请</w:t>
      </w:r>
    </w:p>
    <w:p w14:paraId="055568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承包人提交竣工结算申请的时间：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157C0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竣工结算申请的资料清单和份数：</w:t>
      </w:r>
      <w:r>
        <w:rPr>
          <w:rFonts w:hint="eastAsia" w:ascii="宋体" w:hAnsi="宋体" w:cs="宋体"/>
          <w:color w:val="auto"/>
          <w:szCs w:val="21"/>
          <w:highlight w:val="none"/>
          <w:u w:val="single"/>
        </w:rPr>
        <w:t xml:space="preserve">    按发包人要求及国家、地方相关规定 </w:t>
      </w:r>
      <w:r>
        <w:rPr>
          <w:rFonts w:hint="eastAsia" w:ascii="宋体" w:hAnsi="宋体" w:cs="宋体"/>
          <w:color w:val="auto"/>
          <w:szCs w:val="21"/>
          <w:highlight w:val="none"/>
        </w:rPr>
        <w:t>。</w:t>
      </w:r>
    </w:p>
    <w:p w14:paraId="03ED61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竣工结算申请单的内容应包括：</w:t>
      </w:r>
      <w:r>
        <w:rPr>
          <w:rFonts w:hint="eastAsia" w:ascii="宋体" w:hAnsi="宋体" w:cs="宋体"/>
          <w:color w:val="auto"/>
          <w:szCs w:val="21"/>
          <w:highlight w:val="none"/>
          <w:u w:val="single"/>
        </w:rPr>
        <w:t xml:space="preserve">   按发包人要求及国家、地方相关规定  </w:t>
      </w:r>
      <w:r>
        <w:rPr>
          <w:rFonts w:hint="eastAsia" w:ascii="宋体" w:hAnsi="宋体" w:cs="宋体"/>
          <w:color w:val="auto"/>
          <w:szCs w:val="21"/>
          <w:highlight w:val="none"/>
        </w:rPr>
        <w:t>。</w:t>
      </w:r>
    </w:p>
    <w:p w14:paraId="16BDF1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14.5.2 竣工结算审核</w:t>
      </w:r>
    </w:p>
    <w:p w14:paraId="6E99D5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349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7C33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7F01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14.6 质量保证金</w:t>
      </w:r>
    </w:p>
    <w:p w14:paraId="647C03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14.6.1 承包人提供质量保证金的方式</w:t>
      </w:r>
    </w:p>
    <w:p w14:paraId="7A524B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1B0C80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工程质量保证担保，保证金额为：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30F0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rPr>
        <w:t xml:space="preserve"> 合同价的3  </w:t>
      </w:r>
      <w:r>
        <w:rPr>
          <w:rFonts w:hint="eastAsia" w:ascii="宋体" w:hAnsi="宋体" w:cs="宋体"/>
          <w:color w:val="auto"/>
          <w:szCs w:val="21"/>
          <w:highlight w:val="none"/>
        </w:rPr>
        <w:t>%的工程款；</w:t>
      </w:r>
    </w:p>
    <w:p w14:paraId="4B47A9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其他方式：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4689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14.6.2 质量保证金的预留</w:t>
      </w:r>
    </w:p>
    <w:p w14:paraId="02A2B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质量保证金的预留采取以下第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5F21FE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在支付工程进度款时逐次预留的质量保证金的比例：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，在此情形下，质量保证金的计算基数不包括预付款的支付、扣回以及价格调整的金额；</w:t>
      </w:r>
    </w:p>
    <w:p w14:paraId="52E20B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工程竣工结算时一次性预留专用合同条件第14.6.1项第(2)目约定的工程款预留比例的质量保证金；</w:t>
      </w:r>
    </w:p>
    <w:p w14:paraId="54854D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 其他预留方式: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F83C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E83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14.7 最终结清</w:t>
      </w:r>
    </w:p>
    <w:p w14:paraId="19BA9E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14.7.1 最终结清申请单</w:t>
      </w:r>
    </w:p>
    <w:p w14:paraId="226C80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当事人双方关于最终结清申请的其他约定：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0910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14.7.2 最终结清证书和支付</w:t>
      </w:r>
    </w:p>
    <w:p w14:paraId="6A792C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当事人双方关于最终结清支付的其他约定：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861C97">
      <w:pPr>
        <w:pStyle w:val="81"/>
        <w:spacing w:before="0" w:after="0"/>
        <w:ind w:firstLine="420" w:firstLineChars="200"/>
        <w:outlineLvl w:val="2"/>
        <w:rPr>
          <w:rFonts w:cs="宋体"/>
          <w:b w:val="0"/>
          <w:bCs/>
          <w:color w:val="auto"/>
          <w:sz w:val="21"/>
          <w:szCs w:val="21"/>
          <w:highlight w:val="none"/>
        </w:rPr>
      </w:pPr>
      <w:bookmarkStart w:id="1017" w:name="_Toc175097384"/>
      <w:bookmarkStart w:id="1018" w:name="_Toc24296"/>
      <w:bookmarkStart w:id="1019" w:name="_Toc27250"/>
      <w:bookmarkStart w:id="1020" w:name="_Toc14244"/>
      <w:bookmarkStart w:id="1021" w:name="_Toc182248505"/>
      <w:bookmarkStart w:id="1022" w:name="_Toc165036886"/>
      <w:bookmarkStart w:id="1023" w:name="_Toc54862346"/>
      <w:r>
        <w:rPr>
          <w:rFonts w:hint="eastAsia" w:cs="宋体"/>
          <w:b w:val="0"/>
          <w:bCs/>
          <w:color w:val="auto"/>
          <w:sz w:val="21"/>
          <w:szCs w:val="21"/>
          <w:highlight w:val="none"/>
        </w:rPr>
        <w:t>第15条 违约</w:t>
      </w:r>
      <w:bookmarkEnd w:id="1017"/>
      <w:bookmarkEnd w:id="1018"/>
      <w:bookmarkEnd w:id="1019"/>
      <w:bookmarkEnd w:id="1020"/>
      <w:bookmarkEnd w:id="1021"/>
      <w:bookmarkEnd w:id="1022"/>
      <w:bookmarkEnd w:id="1023"/>
    </w:p>
    <w:p w14:paraId="2AD37B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 发包人违约</w:t>
      </w:r>
    </w:p>
    <w:p w14:paraId="2E09F4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15.1.1 发包人违约的情形</w:t>
      </w:r>
    </w:p>
    <w:p w14:paraId="02A71D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发包人违约的其他情形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BE5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15.1.3 发包人违约的责任</w:t>
      </w:r>
    </w:p>
    <w:p w14:paraId="152251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发包人违约责任的承担方式和计算方法：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3641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承包人违约</w:t>
      </w:r>
    </w:p>
    <w:p w14:paraId="34AD8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15.2.1 承包人违约的情形</w:t>
      </w:r>
    </w:p>
    <w:p w14:paraId="7032F8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承包人违约的其他情形：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12D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15.2.2 通知改正</w:t>
      </w:r>
    </w:p>
    <w:p w14:paraId="1B41DD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工程师通知承包人改正的合理期限是：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914A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15.2.3 承包人违约的责任</w:t>
      </w:r>
    </w:p>
    <w:p w14:paraId="23FF94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承包人违约责任的承担方式和计算方法：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C0661E">
      <w:pPr>
        <w:pStyle w:val="81"/>
        <w:spacing w:before="0" w:after="0"/>
        <w:ind w:firstLine="420" w:firstLineChars="200"/>
        <w:outlineLvl w:val="2"/>
        <w:rPr>
          <w:rFonts w:cs="宋体"/>
          <w:b w:val="0"/>
          <w:bCs/>
          <w:color w:val="auto"/>
          <w:sz w:val="21"/>
          <w:szCs w:val="21"/>
          <w:highlight w:val="none"/>
        </w:rPr>
      </w:pPr>
      <w:bookmarkStart w:id="1024" w:name="_Toc175097385"/>
      <w:bookmarkStart w:id="1025" w:name="_Toc22748"/>
      <w:bookmarkStart w:id="1026" w:name="_Toc15864"/>
      <w:bookmarkStart w:id="1027" w:name="_Toc31971"/>
      <w:bookmarkStart w:id="1028" w:name="_Toc165036887"/>
      <w:bookmarkStart w:id="1029" w:name="_Toc182248506"/>
      <w:bookmarkStart w:id="1030" w:name="_Toc54862347"/>
      <w:r>
        <w:rPr>
          <w:rFonts w:hint="eastAsia" w:cs="宋体"/>
          <w:b w:val="0"/>
          <w:bCs/>
          <w:color w:val="auto"/>
          <w:sz w:val="21"/>
          <w:szCs w:val="21"/>
          <w:highlight w:val="none"/>
        </w:rPr>
        <w:t>第16条 合同解除</w:t>
      </w:r>
      <w:bookmarkEnd w:id="1024"/>
      <w:bookmarkEnd w:id="1025"/>
      <w:bookmarkEnd w:id="1026"/>
      <w:bookmarkEnd w:id="1027"/>
      <w:bookmarkEnd w:id="1028"/>
      <w:bookmarkEnd w:id="1029"/>
      <w:bookmarkEnd w:id="1030"/>
    </w:p>
    <w:p w14:paraId="011CF0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 由发包人解除合同</w:t>
      </w:r>
    </w:p>
    <w:p w14:paraId="0E92A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因承包人违约解除合同</w:t>
      </w:r>
    </w:p>
    <w:p w14:paraId="76F9B3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双方约定可由发包人解除合同的其他事由：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71544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由承包人解除合同</w:t>
      </w:r>
    </w:p>
    <w:p w14:paraId="1312D9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16.2.1 因发包人违约解除合同</w:t>
      </w:r>
    </w:p>
    <w:p w14:paraId="542189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双方约定可由承包人解除合同的其他事由：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F040AF">
      <w:pPr>
        <w:pStyle w:val="81"/>
        <w:spacing w:before="0" w:after="0"/>
        <w:ind w:firstLine="420" w:firstLineChars="200"/>
        <w:outlineLvl w:val="2"/>
        <w:rPr>
          <w:rFonts w:cs="宋体"/>
          <w:b w:val="0"/>
          <w:bCs/>
          <w:color w:val="auto"/>
          <w:sz w:val="21"/>
          <w:szCs w:val="21"/>
          <w:highlight w:val="none"/>
        </w:rPr>
      </w:pPr>
      <w:bookmarkStart w:id="1031" w:name="_Toc54862348"/>
      <w:bookmarkStart w:id="1032" w:name="_Toc175097386"/>
      <w:bookmarkStart w:id="1033" w:name="_Toc165036888"/>
      <w:bookmarkStart w:id="1034" w:name="_Toc182248507"/>
      <w:bookmarkStart w:id="1035" w:name="_Toc14104"/>
      <w:bookmarkStart w:id="1036" w:name="_Toc10242"/>
      <w:bookmarkStart w:id="1037" w:name="_Toc1791"/>
      <w:r>
        <w:rPr>
          <w:rFonts w:hint="eastAsia" w:cs="宋体"/>
          <w:b w:val="0"/>
          <w:bCs/>
          <w:color w:val="auto"/>
          <w:sz w:val="21"/>
          <w:szCs w:val="21"/>
          <w:highlight w:val="none"/>
        </w:rPr>
        <w:t>第17条 不可抗力</w:t>
      </w:r>
      <w:bookmarkEnd w:id="1031"/>
      <w:bookmarkEnd w:id="1032"/>
      <w:bookmarkEnd w:id="1033"/>
      <w:bookmarkEnd w:id="1034"/>
      <w:bookmarkEnd w:id="1035"/>
      <w:bookmarkEnd w:id="1036"/>
      <w:bookmarkEnd w:id="1037"/>
    </w:p>
    <w:p w14:paraId="095BCD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不可抗力的定义</w:t>
      </w:r>
    </w:p>
    <w:p w14:paraId="1407231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除通用合同条件约定的不可抗力事件之外，视为不可抗力的其他情形：</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如地震、海啸、瘟疫、骚乱、戒严、暴动、战争和专用合同条款中约定的其他情形</w:t>
      </w:r>
      <w:r>
        <w:rPr>
          <w:rFonts w:hint="eastAsia" w:ascii="宋体" w:hAnsi="宋体" w:cs="宋体"/>
          <w:color w:val="auto"/>
          <w:szCs w:val="21"/>
          <w:highlight w:val="none"/>
          <w:u w:val="single"/>
        </w:rPr>
        <w:t xml:space="preserve"> 。</w:t>
      </w:r>
    </w:p>
    <w:p w14:paraId="65965F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17.6 因不可抗力解除合同</w:t>
      </w:r>
    </w:p>
    <w:p w14:paraId="52F58F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合同解除后，发包人应当在商定或确定发包人应支付款项后的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天内完成款项的支付。</w:t>
      </w:r>
    </w:p>
    <w:p w14:paraId="053F405F">
      <w:pPr>
        <w:pStyle w:val="81"/>
        <w:spacing w:before="0" w:after="0"/>
        <w:ind w:firstLine="420" w:firstLineChars="200"/>
        <w:outlineLvl w:val="2"/>
        <w:rPr>
          <w:rFonts w:cs="宋体"/>
          <w:b w:val="0"/>
          <w:bCs/>
          <w:color w:val="auto"/>
          <w:sz w:val="21"/>
          <w:szCs w:val="21"/>
          <w:highlight w:val="none"/>
        </w:rPr>
      </w:pPr>
      <w:bookmarkStart w:id="1038" w:name="_Toc4784277"/>
      <w:bookmarkEnd w:id="1038"/>
      <w:bookmarkStart w:id="1039" w:name="_Toc4784276"/>
      <w:bookmarkEnd w:id="1039"/>
      <w:bookmarkStart w:id="1040" w:name="_Toc13140"/>
      <w:bookmarkStart w:id="1041" w:name="_Toc175097387"/>
      <w:bookmarkStart w:id="1042" w:name="_Toc182248508"/>
      <w:bookmarkStart w:id="1043" w:name="_Toc23829"/>
      <w:bookmarkStart w:id="1044" w:name="_Toc165036889"/>
      <w:bookmarkStart w:id="1045" w:name="_Toc23677"/>
      <w:bookmarkStart w:id="1046" w:name="_Toc54862349"/>
      <w:r>
        <w:rPr>
          <w:rFonts w:hint="eastAsia" w:cs="宋体"/>
          <w:b w:val="0"/>
          <w:bCs/>
          <w:color w:val="auto"/>
          <w:sz w:val="21"/>
          <w:szCs w:val="21"/>
          <w:highlight w:val="none"/>
        </w:rPr>
        <w:t>第18条 保险</w:t>
      </w:r>
      <w:bookmarkEnd w:id="1040"/>
      <w:bookmarkEnd w:id="1041"/>
      <w:bookmarkEnd w:id="1042"/>
      <w:bookmarkEnd w:id="1043"/>
      <w:bookmarkEnd w:id="1044"/>
      <w:bookmarkEnd w:id="1045"/>
      <w:bookmarkEnd w:id="1046"/>
    </w:p>
    <w:p w14:paraId="55EA20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 设计和工程保险</w:t>
      </w:r>
    </w:p>
    <w:p w14:paraId="41B113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18.1.1 双方当事人关于设计和工程保险的特别约定：</w:t>
      </w:r>
      <w:r>
        <w:rPr>
          <w:rFonts w:hint="eastAsia" w:ascii="宋体" w:hAnsi="宋体" w:cs="宋体"/>
          <w:color w:val="auto"/>
          <w:szCs w:val="21"/>
          <w:highlight w:val="none"/>
          <w:u w:val="single"/>
        </w:rPr>
        <w:t xml:space="preserve">  由承包人按国家和地方相关规定投保并承担费用  </w:t>
      </w:r>
      <w:r>
        <w:rPr>
          <w:rFonts w:hint="eastAsia" w:ascii="宋体" w:hAnsi="宋体" w:cs="宋体"/>
          <w:color w:val="auto"/>
          <w:szCs w:val="21"/>
          <w:highlight w:val="none"/>
        </w:rPr>
        <w:t>。</w:t>
      </w:r>
    </w:p>
    <w:p w14:paraId="25B1E4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18.1.2 双方当事人关于第三方责任险的特别约定：</w:t>
      </w:r>
      <w:r>
        <w:rPr>
          <w:rFonts w:hint="eastAsia" w:ascii="宋体" w:hAnsi="宋体" w:cs="宋体"/>
          <w:color w:val="auto"/>
          <w:szCs w:val="21"/>
          <w:highlight w:val="none"/>
          <w:u w:val="single"/>
        </w:rPr>
        <w:t xml:space="preserve">  由承包人按国家和地方相关规定投保并承担费用  </w:t>
      </w:r>
      <w:r>
        <w:rPr>
          <w:rFonts w:hint="eastAsia" w:ascii="宋体" w:hAnsi="宋体" w:cs="宋体"/>
          <w:color w:val="auto"/>
          <w:szCs w:val="21"/>
          <w:highlight w:val="none"/>
        </w:rPr>
        <w:t>。</w:t>
      </w:r>
    </w:p>
    <w:p w14:paraId="0A0EE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 工伤和意外伤害保险</w:t>
      </w:r>
    </w:p>
    <w:p w14:paraId="67D31F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18.2.3 关于工伤保险和意外伤害保险的特别约定：</w:t>
      </w:r>
      <w:r>
        <w:rPr>
          <w:rFonts w:hint="eastAsia" w:ascii="宋体" w:hAnsi="宋体" w:cs="宋体"/>
          <w:color w:val="auto"/>
          <w:szCs w:val="21"/>
          <w:highlight w:val="none"/>
          <w:u w:val="single"/>
        </w:rPr>
        <w:t xml:space="preserve">   由承包人按国家和地方相关规定投保并承担费用 </w:t>
      </w:r>
      <w:r>
        <w:rPr>
          <w:rFonts w:hint="eastAsia" w:ascii="宋体" w:hAnsi="宋体" w:cs="宋体"/>
          <w:color w:val="auto"/>
          <w:szCs w:val="21"/>
          <w:highlight w:val="none"/>
        </w:rPr>
        <w:t>。</w:t>
      </w:r>
    </w:p>
    <w:p w14:paraId="194821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 货物保险</w:t>
      </w:r>
    </w:p>
    <w:p w14:paraId="0FC2B1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关于承包人应为其施工设备、材料、工程设备和临时工程等办理财产保险的特别约定：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4999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 其他保险</w:t>
      </w:r>
    </w:p>
    <w:p w14:paraId="0BE7E8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134A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 对各项保险的一般要求</w:t>
      </w:r>
    </w:p>
    <w:p w14:paraId="1A18FD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18.5.2 保险凭证</w:t>
      </w:r>
    </w:p>
    <w:p w14:paraId="616BE1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保险单的条件：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1F48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18.5.4 通知义务</w:t>
      </w:r>
    </w:p>
    <w:p w14:paraId="1EEDD6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关于变更保险合同时的通知义务的约定：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B7DF517">
      <w:pPr>
        <w:pStyle w:val="81"/>
        <w:spacing w:before="0" w:after="0"/>
        <w:ind w:firstLine="420" w:firstLineChars="200"/>
        <w:outlineLvl w:val="2"/>
        <w:rPr>
          <w:rFonts w:cs="宋体"/>
          <w:b w:val="0"/>
          <w:bCs/>
          <w:color w:val="auto"/>
          <w:sz w:val="21"/>
          <w:szCs w:val="21"/>
          <w:highlight w:val="none"/>
        </w:rPr>
      </w:pPr>
      <w:bookmarkStart w:id="1047" w:name="_Toc54862350"/>
      <w:bookmarkStart w:id="1048" w:name="_Toc14280"/>
      <w:bookmarkStart w:id="1049" w:name="_Toc175097388"/>
      <w:bookmarkStart w:id="1050" w:name="_Toc32696"/>
      <w:bookmarkStart w:id="1051" w:name="_Toc3705"/>
      <w:bookmarkStart w:id="1052" w:name="_Toc182248509"/>
      <w:bookmarkStart w:id="1053" w:name="_Toc165036890"/>
      <w:r>
        <w:rPr>
          <w:rFonts w:hint="eastAsia" w:cs="宋体"/>
          <w:b w:val="0"/>
          <w:bCs/>
          <w:color w:val="auto"/>
          <w:sz w:val="21"/>
          <w:szCs w:val="21"/>
          <w:highlight w:val="none"/>
        </w:rPr>
        <w:t>第20条 争议解决</w:t>
      </w:r>
      <w:bookmarkEnd w:id="1047"/>
      <w:bookmarkEnd w:id="1048"/>
      <w:bookmarkEnd w:id="1049"/>
      <w:bookmarkEnd w:id="1050"/>
      <w:bookmarkEnd w:id="1051"/>
      <w:bookmarkEnd w:id="1052"/>
      <w:bookmarkEnd w:id="1053"/>
    </w:p>
    <w:p w14:paraId="2B8DE8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争议评审</w:t>
      </w:r>
    </w:p>
    <w:p w14:paraId="1E691B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合同当事人是否同意将工程争议提交争议评审小组决定：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9005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430C58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争议评审小组成员的人数：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2367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DCFF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选定争议避免/评审组的期限：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F768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CA08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82607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争议评审员报酬的承担人：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5F51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20.3.2 争议的避免</w:t>
      </w:r>
    </w:p>
    <w:p w14:paraId="4A4BF7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发包人和承包人是否均出席争议避免的非正式讨论：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60EA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20.3.3 争议评审小组的决定</w:t>
      </w:r>
    </w:p>
    <w:p w14:paraId="55FE44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关于争议评审小组的决定的特别约定：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8A68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仲裁或诉讼</w:t>
      </w:r>
    </w:p>
    <w:p w14:paraId="4756E1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6D73E1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170DDC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项目所在地   </w:t>
      </w:r>
      <w:r>
        <w:rPr>
          <w:rFonts w:hint="eastAsia" w:ascii="宋体" w:hAnsi="宋体" w:cs="宋体"/>
          <w:color w:val="auto"/>
          <w:szCs w:val="21"/>
          <w:highlight w:val="none"/>
        </w:rPr>
        <w:t>人民法院起诉。</w:t>
      </w:r>
    </w:p>
    <w:p w14:paraId="35E7560E">
      <w:pPr>
        <w:spacing w:line="400" w:lineRule="exact"/>
        <w:jc w:val="left"/>
        <w:rPr>
          <w:rFonts w:ascii="宋体" w:hAnsi="宋体" w:cs="宋体"/>
          <w:color w:val="auto"/>
          <w:sz w:val="72"/>
          <w:szCs w:val="72"/>
          <w:highlight w:val="none"/>
        </w:rPr>
      </w:pPr>
    </w:p>
    <w:p w14:paraId="3FDEC623">
      <w:pPr>
        <w:rPr>
          <w:rFonts w:hint="eastAsia" w:ascii="宋体" w:hAnsi="宋体" w:cs="宋体"/>
          <w:bCs w:val="0"/>
          <w:color w:val="auto"/>
          <w:sz w:val="40"/>
          <w:szCs w:val="52"/>
          <w:highlight w:val="none"/>
        </w:rPr>
      </w:pPr>
      <w:bookmarkStart w:id="1054" w:name="_Toc32624"/>
      <w:bookmarkStart w:id="1055" w:name="_Toc22030"/>
      <w:r>
        <w:rPr>
          <w:rFonts w:hint="eastAsia" w:ascii="宋体" w:hAnsi="宋体" w:cs="宋体"/>
          <w:bCs w:val="0"/>
          <w:color w:val="auto"/>
          <w:sz w:val="40"/>
          <w:szCs w:val="52"/>
          <w:highlight w:val="none"/>
        </w:rPr>
        <w:br w:type="page"/>
      </w:r>
    </w:p>
    <w:bookmarkEnd w:id="1054"/>
    <w:bookmarkEnd w:id="1055"/>
    <w:p w14:paraId="3E3342E8">
      <w:pPr>
        <w:numPr>
          <w:ilvl w:val="0"/>
          <w:numId w:val="5"/>
        </w:numPr>
        <w:jc w:val="center"/>
        <w:outlineLvl w:val="0"/>
        <w:rPr>
          <w:rFonts w:hint="eastAsia" w:ascii="宋体" w:hAnsi="宋体" w:eastAsia="宋体" w:cs="宋体"/>
          <w:b/>
          <w:bCs w:val="0"/>
          <w:color w:val="auto"/>
          <w:kern w:val="44"/>
          <w:sz w:val="40"/>
          <w:szCs w:val="52"/>
          <w:highlight w:val="none"/>
          <w:lang w:val="en-US" w:eastAsia="zh-CN" w:bidi="ar-SA"/>
        </w:rPr>
      </w:pPr>
      <w:bookmarkStart w:id="1056" w:name="_Toc8766"/>
      <w:bookmarkStart w:id="1057" w:name="_Toc13814"/>
      <w:bookmarkStart w:id="1058" w:name="_Toc23789"/>
      <w:r>
        <w:rPr>
          <w:rFonts w:hint="eastAsia" w:ascii="宋体" w:hAnsi="宋体" w:eastAsia="宋体" w:cs="宋体"/>
          <w:b/>
          <w:bCs w:val="0"/>
          <w:color w:val="auto"/>
          <w:kern w:val="44"/>
          <w:sz w:val="40"/>
          <w:szCs w:val="52"/>
          <w:highlight w:val="none"/>
          <w:lang w:val="en-US" w:eastAsia="zh" w:bidi="ar-SA"/>
        </w:rPr>
        <w:t>项目需求</w:t>
      </w:r>
      <w:r>
        <w:rPr>
          <w:rFonts w:hint="eastAsia" w:ascii="宋体" w:hAnsi="宋体" w:eastAsia="宋体" w:cs="宋体"/>
          <w:b/>
          <w:bCs w:val="0"/>
          <w:color w:val="auto"/>
          <w:kern w:val="44"/>
          <w:sz w:val="40"/>
          <w:szCs w:val="52"/>
          <w:highlight w:val="none"/>
          <w:lang w:val="en-US" w:eastAsia="zh-CN" w:bidi="ar-SA"/>
        </w:rPr>
        <w:t>及技术要求</w:t>
      </w:r>
      <w:bookmarkEnd w:id="1056"/>
      <w:bookmarkEnd w:id="1057"/>
      <w:bookmarkEnd w:id="1058"/>
    </w:p>
    <w:p w14:paraId="1CECD3A2">
      <w:pPr>
        <w:numPr>
          <w:ilvl w:val="0"/>
          <w:numId w:val="0"/>
        </w:numPr>
        <w:jc w:val="center"/>
        <w:outlineLvl w:val="0"/>
        <w:rPr>
          <w:rFonts w:hint="eastAsia" w:ascii="宋体" w:hAnsi="宋体" w:cs="宋体"/>
          <w:b/>
          <w:bCs/>
          <w:color w:val="auto"/>
          <w:sz w:val="24"/>
          <w:szCs w:val="24"/>
          <w:highlight w:val="none"/>
          <w:em w:val="dot"/>
          <w:lang w:eastAsia="zh-CN"/>
        </w:rPr>
      </w:pPr>
    </w:p>
    <w:p w14:paraId="6BDA6DE3">
      <w:pPr>
        <w:numPr>
          <w:ilvl w:val="0"/>
          <w:numId w:val="0"/>
        </w:numPr>
        <w:jc w:val="center"/>
        <w:outlineLvl w:val="0"/>
        <w:rPr>
          <w:rFonts w:hint="eastAsia" w:ascii="宋体" w:hAnsi="宋体" w:eastAsia="宋体" w:cs="宋体"/>
          <w:b/>
          <w:bCs/>
          <w:color w:val="auto"/>
          <w:kern w:val="44"/>
          <w:sz w:val="40"/>
          <w:szCs w:val="52"/>
          <w:highlight w:val="none"/>
          <w:em w:val="dot"/>
          <w:lang w:val="en-US" w:eastAsia="zh-CN" w:bidi="ar-SA"/>
        </w:rPr>
      </w:pPr>
      <w:r>
        <w:rPr>
          <w:rFonts w:hint="eastAsia" w:ascii="宋体" w:hAnsi="宋体" w:cs="宋体"/>
          <w:b/>
          <w:bCs/>
          <w:color w:val="auto"/>
          <w:sz w:val="24"/>
          <w:szCs w:val="24"/>
          <w:highlight w:val="none"/>
          <w:em w:val="dot"/>
          <w:lang w:eastAsia="zh-CN"/>
        </w:rPr>
        <w:t>特别提醒：</w:t>
      </w:r>
      <w:r>
        <w:rPr>
          <w:rFonts w:hint="eastAsia" w:ascii="宋体" w:hAnsi="宋体" w:eastAsia="宋体" w:cs="宋体"/>
          <w:b/>
          <w:bCs/>
          <w:color w:val="auto"/>
          <w:sz w:val="24"/>
          <w:szCs w:val="24"/>
          <w:highlight w:val="none"/>
          <w:em w:val="dot"/>
          <w:lang w:eastAsia="zh"/>
        </w:rPr>
        <w:t>本项目一次配施工图纸另附</w:t>
      </w:r>
      <w:r>
        <w:rPr>
          <w:rFonts w:hint="eastAsia" w:ascii="宋体" w:hAnsi="宋体" w:eastAsia="宋体" w:cs="宋体"/>
          <w:b/>
          <w:bCs/>
          <w:color w:val="auto"/>
          <w:sz w:val="24"/>
          <w:szCs w:val="24"/>
          <w:highlight w:val="none"/>
          <w:em w:val="dot"/>
          <w:lang w:eastAsia="zh"/>
          <w:woUserID w:val="1"/>
        </w:rPr>
        <w:t>,各供应商在交易中心</w:t>
      </w:r>
      <w:r>
        <w:rPr>
          <w:rFonts w:hint="eastAsia" w:ascii="宋体" w:hAnsi="宋体" w:eastAsia="宋体" w:cs="宋体"/>
          <w:b/>
          <w:bCs/>
          <w:color w:val="auto"/>
          <w:sz w:val="24"/>
          <w:szCs w:val="24"/>
          <w:highlight w:val="none"/>
          <w:em w:val="dot"/>
          <w:lang w:eastAsia="zh"/>
        </w:rPr>
        <w:t>系统内</w:t>
      </w:r>
      <w:r>
        <w:rPr>
          <w:rFonts w:hint="eastAsia" w:ascii="宋体" w:hAnsi="宋体" w:cs="宋体"/>
          <w:b/>
          <w:bCs/>
          <w:color w:val="auto"/>
          <w:sz w:val="24"/>
          <w:szCs w:val="24"/>
          <w:highlight w:val="none"/>
          <w:em w:val="dot"/>
          <w:lang w:eastAsia="zh-CN"/>
        </w:rPr>
        <w:t>“其他附件”中</w:t>
      </w:r>
      <w:r>
        <w:rPr>
          <w:rFonts w:hint="eastAsia" w:ascii="宋体" w:hAnsi="宋体" w:eastAsia="宋体" w:cs="宋体"/>
          <w:b/>
          <w:bCs/>
          <w:color w:val="auto"/>
          <w:sz w:val="24"/>
          <w:szCs w:val="24"/>
          <w:highlight w:val="none"/>
          <w:em w:val="dot"/>
          <w:lang w:eastAsia="zh"/>
        </w:rPr>
        <w:t>另行下载</w:t>
      </w:r>
      <w:r>
        <w:rPr>
          <w:rFonts w:hint="eastAsia" w:ascii="宋体" w:hAnsi="宋体" w:eastAsia="宋体" w:cs="宋体"/>
          <w:b/>
          <w:bCs/>
          <w:color w:val="auto"/>
          <w:sz w:val="24"/>
          <w:szCs w:val="24"/>
          <w:highlight w:val="none"/>
          <w:em w:val="dot"/>
          <w:lang w:eastAsia="zh"/>
          <w:woUserID w:val="1"/>
        </w:rPr>
        <w:t>。</w:t>
      </w:r>
    </w:p>
    <w:p w14:paraId="4F3E7EB3">
      <w:pPr>
        <w:pStyle w:val="3"/>
        <w:spacing w:line="440" w:lineRule="exact"/>
        <w:jc w:val="left"/>
        <w:rPr>
          <w:rFonts w:ascii="宋体" w:hAnsi="宋体" w:eastAsia="宋体" w:cs="宋体"/>
          <w:color w:val="auto"/>
          <w:sz w:val="28"/>
          <w:szCs w:val="28"/>
          <w:highlight w:val="none"/>
        </w:rPr>
      </w:pPr>
      <w:bookmarkStart w:id="1059" w:name="_Toc182248512"/>
      <w:bookmarkStart w:id="1060" w:name="_Toc32479"/>
      <w:bookmarkStart w:id="1061" w:name="_Toc4801"/>
      <w:bookmarkStart w:id="1062" w:name="_Toc20715"/>
      <w:r>
        <w:rPr>
          <w:rFonts w:hint="eastAsia" w:ascii="宋体" w:hAnsi="宋体" w:eastAsia="宋体" w:cs="宋体"/>
          <w:color w:val="auto"/>
          <w:sz w:val="28"/>
          <w:szCs w:val="28"/>
          <w:highlight w:val="none"/>
        </w:rPr>
        <w:t>1.工程概况：</w:t>
      </w:r>
      <w:bookmarkEnd w:id="1059"/>
      <w:bookmarkEnd w:id="1060"/>
      <w:bookmarkEnd w:id="1061"/>
      <w:bookmarkEnd w:id="1062"/>
    </w:p>
    <w:p w14:paraId="054BD56A">
      <w:pPr>
        <w:spacing w:line="360" w:lineRule="auto"/>
        <w:ind w:firstLine="420" w:firstLineChars="200"/>
        <w:outlineLvl w:val="2"/>
        <w:rPr>
          <w:rFonts w:hint="eastAsia" w:ascii="宋体" w:hAnsi="宋体" w:cs="宋体"/>
          <w:color w:val="auto"/>
          <w:szCs w:val="21"/>
          <w:highlight w:val="none"/>
        </w:rPr>
      </w:pPr>
      <w:bookmarkStart w:id="1063" w:name="_Toc12772"/>
      <w:r>
        <w:rPr>
          <w:rFonts w:hint="eastAsia" w:ascii="宋体" w:hAnsi="宋体" w:cs="宋体"/>
          <w:color w:val="auto"/>
          <w:szCs w:val="21"/>
          <w:highlight w:val="none"/>
        </w:rPr>
        <w:t>1.1项目名称：墨子实验室中原量子谷1号楼超净实验室工艺设备（一期）厂务二次配项目</w:t>
      </w:r>
      <w:bookmarkEnd w:id="1063"/>
    </w:p>
    <w:p w14:paraId="30C73F86">
      <w:pPr>
        <w:spacing w:line="360" w:lineRule="auto"/>
        <w:ind w:firstLine="420" w:firstLineChars="200"/>
        <w:outlineLvl w:val="2"/>
        <w:rPr>
          <w:rFonts w:hint="eastAsia" w:ascii="宋体" w:hAnsi="宋体" w:cs="宋体"/>
          <w:color w:val="auto"/>
          <w:szCs w:val="21"/>
          <w:highlight w:val="none"/>
        </w:rPr>
      </w:pPr>
      <w:bookmarkStart w:id="1064" w:name="_Toc8226"/>
      <w:r>
        <w:rPr>
          <w:rFonts w:hint="eastAsia" w:ascii="宋体" w:hAnsi="宋体" w:cs="宋体"/>
          <w:color w:val="auto"/>
          <w:szCs w:val="21"/>
          <w:highlight w:val="none"/>
        </w:rPr>
        <w:t>1.</w:t>
      </w:r>
      <w:r>
        <w:rPr>
          <w:rFonts w:hint="eastAsia" w:ascii="宋体" w:hAnsi="宋体" w:cs="宋体"/>
          <w:color w:val="auto"/>
          <w:szCs w:val="21"/>
          <w:highlight w:val="none"/>
          <w:lang w:eastAsia="zh"/>
          <w:woUserID w:val="1"/>
        </w:rPr>
        <w:t>2</w:t>
      </w:r>
      <w:r>
        <w:rPr>
          <w:rFonts w:hint="eastAsia" w:ascii="宋体" w:hAnsi="宋体" w:cs="宋体"/>
          <w:color w:val="auto"/>
          <w:szCs w:val="21"/>
          <w:highlight w:val="none"/>
        </w:rPr>
        <w:t>项目概况：中原量子谷1#楼超净实验室位于郑州日产汽车有限公司研发中心建设项目B地块(二期）中原量子谷创新基地内，建筑面积约6124.30㎡，其中地下一层建筑面积约1429.33㎡，一层建筑面积约4694.97㎡，层高10米，一层洁净室面积约3000㎡</w:t>
      </w:r>
      <w:r>
        <w:rPr>
          <w:rFonts w:hint="eastAsia" w:ascii="宋体" w:hAnsi="宋体" w:cs="宋体"/>
          <w:color w:val="auto"/>
          <w:szCs w:val="21"/>
          <w:highlight w:val="none"/>
          <w:lang w:eastAsia="zh"/>
        </w:rPr>
        <w:t>（含百级洁净室）</w:t>
      </w:r>
      <w:r>
        <w:rPr>
          <w:rFonts w:hint="eastAsia" w:ascii="宋体" w:hAnsi="宋体" w:cs="宋体"/>
          <w:color w:val="auto"/>
          <w:szCs w:val="21"/>
          <w:highlight w:val="none"/>
        </w:rPr>
        <w:t>，非洁净室面积约1694.97㎡。</w:t>
      </w:r>
      <w:bookmarkEnd w:id="1064"/>
    </w:p>
    <w:p w14:paraId="0144A837">
      <w:pPr>
        <w:pStyle w:val="23"/>
        <w:spacing w:before="0" w:beforeAutospacing="0" w:after="0" w:afterAutospacing="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墨子实验室中原量子谷1号楼超净实验室工艺设备（一期）厂务二次配项目</w:t>
      </w:r>
      <w:r>
        <w:rPr>
          <w:rFonts w:hint="eastAsia" w:ascii="宋体" w:hAnsi="宋体" w:eastAsia="宋体" w:cs="宋体"/>
          <w:color w:val="auto"/>
          <w:kern w:val="2"/>
          <w:sz w:val="21"/>
          <w:szCs w:val="21"/>
          <w:highlight w:val="none"/>
          <w:lang w:eastAsia="zh" w:bidi="ar"/>
        </w:rPr>
        <w:t>涉及设备</w:t>
      </w:r>
      <w:r>
        <w:rPr>
          <w:rFonts w:hint="eastAsia" w:ascii="宋体" w:hAnsi="宋体" w:eastAsia="宋体" w:cs="宋体"/>
          <w:color w:val="auto"/>
          <w:kern w:val="2"/>
          <w:sz w:val="21"/>
          <w:szCs w:val="21"/>
          <w:highlight w:val="none"/>
          <w:lang w:bidi="ar"/>
        </w:rPr>
        <w:t>。其设备列表如表1所示。</w:t>
      </w:r>
    </w:p>
    <w:p w14:paraId="1C04E4B8">
      <w:pPr>
        <w:pStyle w:val="23"/>
        <w:spacing w:before="0" w:beforeAutospacing="0" w:after="0" w:afterAutospacing="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表1工艺设备基台数量</w:t>
      </w:r>
    </w:p>
    <w:tbl>
      <w:tblPr>
        <w:tblStyle w:val="27"/>
        <w:tblW w:w="7680" w:type="dxa"/>
        <w:jc w:val="center"/>
        <w:tblLayout w:type="fixed"/>
        <w:tblCellMar>
          <w:top w:w="0" w:type="dxa"/>
          <w:left w:w="108" w:type="dxa"/>
          <w:bottom w:w="0" w:type="dxa"/>
          <w:right w:w="108" w:type="dxa"/>
        </w:tblCellMar>
      </w:tblPr>
      <w:tblGrid>
        <w:gridCol w:w="1080"/>
        <w:gridCol w:w="5520"/>
        <w:gridCol w:w="1080"/>
      </w:tblGrid>
      <w:tr w14:paraId="0D7EDCF7">
        <w:tblPrEx>
          <w:tblCellMar>
            <w:top w:w="0" w:type="dxa"/>
            <w:left w:w="108" w:type="dxa"/>
            <w:bottom w:w="0" w:type="dxa"/>
            <w:right w:w="108" w:type="dxa"/>
          </w:tblCellMar>
        </w:tblPrEx>
        <w:trPr>
          <w:trHeight w:val="348"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79729D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5520" w:type="dxa"/>
            <w:tcBorders>
              <w:top w:val="single" w:color="auto" w:sz="4" w:space="0"/>
              <w:left w:val="nil"/>
              <w:bottom w:val="single" w:color="auto" w:sz="4" w:space="0"/>
              <w:right w:val="single" w:color="auto" w:sz="4" w:space="0"/>
            </w:tcBorders>
            <w:noWrap w:val="0"/>
            <w:vAlign w:val="center"/>
          </w:tcPr>
          <w:p w14:paraId="1B2C31C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设备名称</w:t>
            </w:r>
          </w:p>
        </w:tc>
        <w:tc>
          <w:tcPr>
            <w:tcW w:w="1080" w:type="dxa"/>
            <w:tcBorders>
              <w:top w:val="single" w:color="auto" w:sz="4" w:space="0"/>
              <w:left w:val="nil"/>
              <w:bottom w:val="single" w:color="auto" w:sz="4" w:space="0"/>
              <w:right w:val="single" w:color="auto" w:sz="4" w:space="0"/>
            </w:tcBorders>
            <w:noWrap/>
            <w:vAlign w:val="center"/>
          </w:tcPr>
          <w:p w14:paraId="7B90B93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台/套数</w:t>
            </w:r>
          </w:p>
        </w:tc>
      </w:tr>
      <w:tr w14:paraId="292CFFD1">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095E9F1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520" w:type="dxa"/>
            <w:tcBorders>
              <w:top w:val="nil"/>
              <w:left w:val="nil"/>
              <w:bottom w:val="single" w:color="auto" w:sz="4" w:space="0"/>
              <w:right w:val="single" w:color="auto" w:sz="4" w:space="0"/>
            </w:tcBorders>
            <w:noWrap w:val="0"/>
            <w:vAlign w:val="center"/>
          </w:tcPr>
          <w:p w14:paraId="6DE32F1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刻蚀机（介质层）</w:t>
            </w:r>
          </w:p>
        </w:tc>
        <w:tc>
          <w:tcPr>
            <w:tcW w:w="1080" w:type="dxa"/>
            <w:tcBorders>
              <w:top w:val="nil"/>
              <w:left w:val="nil"/>
              <w:bottom w:val="single" w:color="auto" w:sz="4" w:space="0"/>
              <w:right w:val="single" w:color="auto" w:sz="4" w:space="0"/>
            </w:tcBorders>
            <w:noWrap/>
            <w:vAlign w:val="center"/>
          </w:tcPr>
          <w:p w14:paraId="2601F0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489D3FD0">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48824E7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5520" w:type="dxa"/>
            <w:tcBorders>
              <w:top w:val="nil"/>
              <w:left w:val="nil"/>
              <w:bottom w:val="single" w:color="auto" w:sz="4" w:space="0"/>
              <w:right w:val="single" w:color="auto" w:sz="4" w:space="0"/>
            </w:tcBorders>
            <w:noWrap w:val="0"/>
            <w:vAlign w:val="center"/>
          </w:tcPr>
          <w:p w14:paraId="62E465C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电感耦合等离子刻蚀机（化合物）</w:t>
            </w:r>
          </w:p>
        </w:tc>
        <w:tc>
          <w:tcPr>
            <w:tcW w:w="1080" w:type="dxa"/>
            <w:tcBorders>
              <w:top w:val="nil"/>
              <w:left w:val="nil"/>
              <w:bottom w:val="single" w:color="auto" w:sz="4" w:space="0"/>
              <w:right w:val="single" w:color="auto" w:sz="4" w:space="0"/>
            </w:tcBorders>
            <w:noWrap/>
            <w:vAlign w:val="center"/>
          </w:tcPr>
          <w:p w14:paraId="4F53D5E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2E7C5B79">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0BFE8C6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5520" w:type="dxa"/>
            <w:tcBorders>
              <w:top w:val="nil"/>
              <w:left w:val="nil"/>
              <w:bottom w:val="single" w:color="auto" w:sz="4" w:space="0"/>
              <w:right w:val="single" w:color="auto" w:sz="4" w:space="0"/>
            </w:tcBorders>
            <w:noWrap w:val="0"/>
            <w:vAlign w:val="center"/>
          </w:tcPr>
          <w:p w14:paraId="479D514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电感耦合等离子体增强型化学气相沉积系统</w:t>
            </w:r>
          </w:p>
        </w:tc>
        <w:tc>
          <w:tcPr>
            <w:tcW w:w="1080" w:type="dxa"/>
            <w:tcBorders>
              <w:top w:val="nil"/>
              <w:left w:val="nil"/>
              <w:bottom w:val="single" w:color="auto" w:sz="4" w:space="0"/>
              <w:right w:val="single" w:color="auto" w:sz="4" w:space="0"/>
            </w:tcBorders>
            <w:noWrap/>
            <w:vAlign w:val="center"/>
          </w:tcPr>
          <w:p w14:paraId="6EF51FB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7778902">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3738D1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520" w:type="dxa"/>
            <w:tcBorders>
              <w:top w:val="nil"/>
              <w:left w:val="nil"/>
              <w:bottom w:val="single" w:color="auto" w:sz="4" w:space="0"/>
              <w:right w:val="single" w:color="auto" w:sz="4" w:space="0"/>
            </w:tcBorders>
            <w:noWrap w:val="0"/>
            <w:vAlign w:val="center"/>
          </w:tcPr>
          <w:p w14:paraId="68E60F1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电子束蒸发系统</w:t>
            </w:r>
          </w:p>
        </w:tc>
        <w:tc>
          <w:tcPr>
            <w:tcW w:w="1080" w:type="dxa"/>
            <w:tcBorders>
              <w:top w:val="nil"/>
              <w:left w:val="nil"/>
              <w:bottom w:val="single" w:color="auto" w:sz="4" w:space="0"/>
              <w:right w:val="single" w:color="auto" w:sz="4" w:space="0"/>
            </w:tcBorders>
            <w:noWrap/>
            <w:vAlign w:val="center"/>
          </w:tcPr>
          <w:p w14:paraId="27ABAD6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49BF713">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7EBC704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5520" w:type="dxa"/>
            <w:tcBorders>
              <w:top w:val="nil"/>
              <w:left w:val="nil"/>
              <w:bottom w:val="single" w:color="auto" w:sz="4" w:space="0"/>
              <w:right w:val="single" w:color="auto" w:sz="4" w:space="0"/>
            </w:tcBorders>
            <w:noWrap w:val="0"/>
            <w:vAlign w:val="center"/>
          </w:tcPr>
          <w:p w14:paraId="6DFF68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大压力管芯结合系统</w:t>
            </w:r>
          </w:p>
        </w:tc>
        <w:tc>
          <w:tcPr>
            <w:tcW w:w="1080" w:type="dxa"/>
            <w:tcBorders>
              <w:top w:val="nil"/>
              <w:left w:val="nil"/>
              <w:bottom w:val="single" w:color="auto" w:sz="4" w:space="0"/>
              <w:right w:val="single" w:color="auto" w:sz="4" w:space="0"/>
            </w:tcBorders>
            <w:noWrap/>
            <w:vAlign w:val="center"/>
          </w:tcPr>
          <w:p w14:paraId="2C594F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5AFE1562">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1DD3B1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5520" w:type="dxa"/>
            <w:tcBorders>
              <w:top w:val="nil"/>
              <w:left w:val="nil"/>
              <w:bottom w:val="single" w:color="auto" w:sz="4" w:space="0"/>
              <w:right w:val="single" w:color="auto" w:sz="4" w:space="0"/>
            </w:tcBorders>
            <w:noWrap w:val="0"/>
            <w:vAlign w:val="center"/>
          </w:tcPr>
          <w:p w14:paraId="253849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去胶剥离机</w:t>
            </w:r>
          </w:p>
        </w:tc>
        <w:tc>
          <w:tcPr>
            <w:tcW w:w="1080" w:type="dxa"/>
            <w:tcBorders>
              <w:top w:val="nil"/>
              <w:left w:val="nil"/>
              <w:bottom w:val="single" w:color="auto" w:sz="4" w:space="0"/>
              <w:right w:val="single" w:color="auto" w:sz="4" w:space="0"/>
            </w:tcBorders>
            <w:noWrap/>
            <w:vAlign w:val="center"/>
          </w:tcPr>
          <w:p w14:paraId="04C543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2AECBC6D">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26EEB4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5520" w:type="dxa"/>
            <w:tcBorders>
              <w:top w:val="nil"/>
              <w:left w:val="nil"/>
              <w:bottom w:val="single" w:color="auto" w:sz="4" w:space="0"/>
              <w:right w:val="single" w:color="auto" w:sz="4" w:space="0"/>
            </w:tcBorders>
            <w:noWrap w:val="0"/>
            <w:vAlign w:val="center"/>
          </w:tcPr>
          <w:p w14:paraId="6F2BDDC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单晶圆清洗设备</w:t>
            </w:r>
          </w:p>
        </w:tc>
        <w:tc>
          <w:tcPr>
            <w:tcW w:w="1080" w:type="dxa"/>
            <w:tcBorders>
              <w:top w:val="nil"/>
              <w:left w:val="nil"/>
              <w:bottom w:val="single" w:color="auto" w:sz="4" w:space="0"/>
              <w:right w:val="single" w:color="auto" w:sz="4" w:space="0"/>
            </w:tcBorders>
            <w:noWrap/>
            <w:vAlign w:val="center"/>
          </w:tcPr>
          <w:p w14:paraId="13DEB6E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2F564ADE">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5AA64DD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5520" w:type="dxa"/>
            <w:tcBorders>
              <w:top w:val="nil"/>
              <w:left w:val="nil"/>
              <w:bottom w:val="single" w:color="auto" w:sz="4" w:space="0"/>
              <w:right w:val="single" w:color="auto" w:sz="4" w:space="0"/>
            </w:tcBorders>
            <w:noWrap w:val="0"/>
            <w:vAlign w:val="center"/>
          </w:tcPr>
          <w:p w14:paraId="4043970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电极合金炉（快速退火炉）</w:t>
            </w:r>
          </w:p>
        </w:tc>
        <w:tc>
          <w:tcPr>
            <w:tcW w:w="1080" w:type="dxa"/>
            <w:tcBorders>
              <w:top w:val="nil"/>
              <w:left w:val="nil"/>
              <w:bottom w:val="single" w:color="auto" w:sz="4" w:space="0"/>
              <w:right w:val="single" w:color="auto" w:sz="4" w:space="0"/>
            </w:tcBorders>
            <w:noWrap/>
            <w:vAlign w:val="center"/>
          </w:tcPr>
          <w:p w14:paraId="4D43F8E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AFB06DB">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3BD6A37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5520" w:type="dxa"/>
            <w:tcBorders>
              <w:top w:val="nil"/>
              <w:left w:val="nil"/>
              <w:bottom w:val="single" w:color="auto" w:sz="4" w:space="0"/>
              <w:right w:val="single" w:color="auto" w:sz="4" w:space="0"/>
            </w:tcBorders>
            <w:noWrap w:val="0"/>
            <w:vAlign w:val="center"/>
          </w:tcPr>
          <w:p w14:paraId="6453E92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等离子去胶机</w:t>
            </w:r>
          </w:p>
        </w:tc>
        <w:tc>
          <w:tcPr>
            <w:tcW w:w="1080" w:type="dxa"/>
            <w:tcBorders>
              <w:top w:val="nil"/>
              <w:left w:val="nil"/>
              <w:bottom w:val="single" w:color="auto" w:sz="4" w:space="0"/>
              <w:right w:val="single" w:color="auto" w:sz="4" w:space="0"/>
            </w:tcBorders>
            <w:noWrap/>
            <w:vAlign w:val="center"/>
          </w:tcPr>
          <w:p w14:paraId="41BA69C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4814A2AF">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5D2597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5520" w:type="dxa"/>
            <w:tcBorders>
              <w:top w:val="nil"/>
              <w:left w:val="nil"/>
              <w:bottom w:val="single" w:color="auto" w:sz="4" w:space="0"/>
              <w:right w:val="single" w:color="auto" w:sz="4" w:space="0"/>
            </w:tcBorders>
            <w:noWrap w:val="0"/>
            <w:vAlign w:val="center"/>
          </w:tcPr>
          <w:p w14:paraId="58BB291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接触式光刻机</w:t>
            </w:r>
          </w:p>
        </w:tc>
        <w:tc>
          <w:tcPr>
            <w:tcW w:w="1080" w:type="dxa"/>
            <w:tcBorders>
              <w:top w:val="nil"/>
              <w:left w:val="nil"/>
              <w:bottom w:val="single" w:color="auto" w:sz="4" w:space="0"/>
              <w:right w:val="single" w:color="auto" w:sz="4" w:space="0"/>
            </w:tcBorders>
            <w:noWrap/>
            <w:vAlign w:val="center"/>
          </w:tcPr>
          <w:p w14:paraId="7DCAD6E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4AE739A">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3189931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11</w:t>
            </w:r>
          </w:p>
        </w:tc>
        <w:tc>
          <w:tcPr>
            <w:tcW w:w="5520" w:type="dxa"/>
            <w:tcBorders>
              <w:top w:val="nil"/>
              <w:left w:val="nil"/>
              <w:bottom w:val="single" w:color="auto" w:sz="4" w:space="0"/>
              <w:right w:val="single" w:color="auto" w:sz="4" w:space="0"/>
            </w:tcBorders>
            <w:noWrap w:val="0"/>
            <w:vAlign w:val="center"/>
          </w:tcPr>
          <w:p w14:paraId="31D4E80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等离子体干法刻蚀系统</w:t>
            </w:r>
          </w:p>
        </w:tc>
        <w:tc>
          <w:tcPr>
            <w:tcW w:w="1080" w:type="dxa"/>
            <w:tcBorders>
              <w:top w:val="nil"/>
              <w:left w:val="nil"/>
              <w:bottom w:val="single" w:color="auto" w:sz="4" w:space="0"/>
              <w:right w:val="single" w:color="auto" w:sz="4" w:space="0"/>
            </w:tcBorders>
            <w:noWrap/>
            <w:vAlign w:val="center"/>
          </w:tcPr>
          <w:p w14:paraId="6641D0D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3A009816">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761254A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w:t>
            </w:r>
          </w:p>
        </w:tc>
        <w:tc>
          <w:tcPr>
            <w:tcW w:w="5520" w:type="dxa"/>
            <w:tcBorders>
              <w:top w:val="nil"/>
              <w:left w:val="nil"/>
              <w:bottom w:val="single" w:color="auto" w:sz="4" w:space="0"/>
              <w:right w:val="single" w:color="auto" w:sz="4" w:space="0"/>
            </w:tcBorders>
            <w:noWrap w:val="0"/>
            <w:vAlign w:val="center"/>
          </w:tcPr>
          <w:p w14:paraId="77470B2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ICP系统</w:t>
            </w:r>
          </w:p>
        </w:tc>
        <w:tc>
          <w:tcPr>
            <w:tcW w:w="1080" w:type="dxa"/>
            <w:tcBorders>
              <w:top w:val="nil"/>
              <w:left w:val="nil"/>
              <w:bottom w:val="single" w:color="auto" w:sz="4" w:space="0"/>
              <w:right w:val="single" w:color="auto" w:sz="4" w:space="0"/>
            </w:tcBorders>
            <w:noWrap/>
            <w:vAlign w:val="center"/>
          </w:tcPr>
          <w:p w14:paraId="471CABC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2F3221F">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03B744B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5520" w:type="dxa"/>
            <w:tcBorders>
              <w:top w:val="nil"/>
              <w:left w:val="nil"/>
              <w:bottom w:val="single" w:color="auto" w:sz="4" w:space="0"/>
              <w:right w:val="single" w:color="auto" w:sz="4" w:space="0"/>
            </w:tcBorders>
            <w:noWrap w:val="0"/>
            <w:vAlign w:val="center"/>
          </w:tcPr>
          <w:p w14:paraId="6D29119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原子层沉积设备</w:t>
            </w:r>
          </w:p>
        </w:tc>
        <w:tc>
          <w:tcPr>
            <w:tcW w:w="1080" w:type="dxa"/>
            <w:tcBorders>
              <w:top w:val="nil"/>
              <w:left w:val="nil"/>
              <w:bottom w:val="single" w:color="auto" w:sz="4" w:space="0"/>
              <w:right w:val="single" w:color="auto" w:sz="4" w:space="0"/>
            </w:tcBorders>
            <w:noWrap/>
            <w:vAlign w:val="center"/>
          </w:tcPr>
          <w:p w14:paraId="412A2F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59159272">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0175B1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14</w:t>
            </w:r>
          </w:p>
        </w:tc>
        <w:tc>
          <w:tcPr>
            <w:tcW w:w="5520" w:type="dxa"/>
            <w:tcBorders>
              <w:top w:val="nil"/>
              <w:left w:val="nil"/>
              <w:bottom w:val="single" w:color="auto" w:sz="4" w:space="0"/>
              <w:right w:val="single" w:color="auto" w:sz="4" w:space="0"/>
            </w:tcBorders>
            <w:noWrap w:val="0"/>
            <w:vAlign w:val="center"/>
          </w:tcPr>
          <w:p w14:paraId="30F74B9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电感增强化学气相沉积系统</w:t>
            </w:r>
          </w:p>
        </w:tc>
        <w:tc>
          <w:tcPr>
            <w:tcW w:w="1080" w:type="dxa"/>
            <w:tcBorders>
              <w:top w:val="nil"/>
              <w:left w:val="nil"/>
              <w:bottom w:val="single" w:color="auto" w:sz="4" w:space="0"/>
              <w:right w:val="single" w:color="auto" w:sz="4" w:space="0"/>
            </w:tcBorders>
            <w:noWrap/>
            <w:vAlign w:val="center"/>
          </w:tcPr>
          <w:p w14:paraId="18EB931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4AFD3999">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5D18A08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15</w:t>
            </w:r>
          </w:p>
        </w:tc>
        <w:tc>
          <w:tcPr>
            <w:tcW w:w="5520" w:type="dxa"/>
            <w:tcBorders>
              <w:top w:val="nil"/>
              <w:left w:val="nil"/>
              <w:bottom w:val="single" w:color="auto" w:sz="4" w:space="0"/>
              <w:right w:val="single" w:color="auto" w:sz="4" w:space="0"/>
            </w:tcBorders>
            <w:noWrap w:val="0"/>
            <w:vAlign w:val="center"/>
          </w:tcPr>
          <w:p w14:paraId="1BF1DD3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激光晶圆切割机</w:t>
            </w:r>
          </w:p>
        </w:tc>
        <w:tc>
          <w:tcPr>
            <w:tcW w:w="1080" w:type="dxa"/>
            <w:tcBorders>
              <w:top w:val="nil"/>
              <w:left w:val="nil"/>
              <w:bottom w:val="single" w:color="auto" w:sz="4" w:space="0"/>
              <w:right w:val="single" w:color="auto" w:sz="4" w:space="0"/>
            </w:tcBorders>
            <w:noWrap/>
            <w:vAlign w:val="center"/>
          </w:tcPr>
          <w:p w14:paraId="721F1A5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2C17AEDA">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4481BA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16</w:t>
            </w:r>
          </w:p>
        </w:tc>
        <w:tc>
          <w:tcPr>
            <w:tcW w:w="5520" w:type="dxa"/>
            <w:tcBorders>
              <w:top w:val="nil"/>
              <w:left w:val="nil"/>
              <w:bottom w:val="single" w:color="auto" w:sz="4" w:space="0"/>
              <w:right w:val="single" w:color="auto" w:sz="4" w:space="0"/>
            </w:tcBorders>
            <w:noWrap w:val="0"/>
            <w:vAlign w:val="center"/>
          </w:tcPr>
          <w:p w14:paraId="0FE769F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高分辨晶体X射线衍射仪</w:t>
            </w:r>
          </w:p>
        </w:tc>
        <w:tc>
          <w:tcPr>
            <w:tcW w:w="1080" w:type="dxa"/>
            <w:tcBorders>
              <w:top w:val="nil"/>
              <w:left w:val="nil"/>
              <w:bottom w:val="single" w:color="auto" w:sz="4" w:space="0"/>
              <w:right w:val="single" w:color="auto" w:sz="4" w:space="0"/>
            </w:tcBorders>
            <w:noWrap/>
            <w:vAlign w:val="center"/>
          </w:tcPr>
          <w:p w14:paraId="4817657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62BC4975">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A96DEE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17</w:t>
            </w:r>
          </w:p>
        </w:tc>
        <w:tc>
          <w:tcPr>
            <w:tcW w:w="5520" w:type="dxa"/>
            <w:tcBorders>
              <w:top w:val="nil"/>
              <w:left w:val="nil"/>
              <w:bottom w:val="single" w:color="auto" w:sz="4" w:space="0"/>
              <w:right w:val="single" w:color="auto" w:sz="4" w:space="0"/>
            </w:tcBorders>
            <w:noWrap w:val="0"/>
            <w:vAlign w:val="center"/>
          </w:tcPr>
          <w:p w14:paraId="3237F41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高精度扫描电子显微镜</w:t>
            </w:r>
          </w:p>
        </w:tc>
        <w:tc>
          <w:tcPr>
            <w:tcW w:w="1080" w:type="dxa"/>
            <w:tcBorders>
              <w:top w:val="nil"/>
              <w:left w:val="nil"/>
              <w:bottom w:val="single" w:color="auto" w:sz="4" w:space="0"/>
              <w:right w:val="single" w:color="auto" w:sz="4" w:space="0"/>
            </w:tcBorders>
            <w:noWrap/>
            <w:vAlign w:val="center"/>
          </w:tcPr>
          <w:p w14:paraId="27BC174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556ABF49">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8B2D62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18</w:t>
            </w:r>
          </w:p>
        </w:tc>
        <w:tc>
          <w:tcPr>
            <w:tcW w:w="5520" w:type="dxa"/>
            <w:tcBorders>
              <w:top w:val="nil"/>
              <w:left w:val="nil"/>
              <w:bottom w:val="single" w:color="auto" w:sz="4" w:space="0"/>
              <w:right w:val="single" w:color="auto" w:sz="4" w:space="0"/>
            </w:tcBorders>
            <w:noWrap w:val="0"/>
            <w:vAlign w:val="center"/>
          </w:tcPr>
          <w:p w14:paraId="4D4D69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四探针霍尔效应测量系统</w:t>
            </w:r>
          </w:p>
        </w:tc>
        <w:tc>
          <w:tcPr>
            <w:tcW w:w="1080" w:type="dxa"/>
            <w:tcBorders>
              <w:top w:val="nil"/>
              <w:left w:val="nil"/>
              <w:bottom w:val="single" w:color="auto" w:sz="4" w:space="0"/>
              <w:right w:val="single" w:color="auto" w:sz="4" w:space="0"/>
            </w:tcBorders>
            <w:noWrap/>
            <w:vAlign w:val="center"/>
          </w:tcPr>
          <w:p w14:paraId="4EDD173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12F7914F">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3C2D325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19</w:t>
            </w:r>
          </w:p>
        </w:tc>
        <w:tc>
          <w:tcPr>
            <w:tcW w:w="5520" w:type="dxa"/>
            <w:tcBorders>
              <w:top w:val="nil"/>
              <w:left w:val="nil"/>
              <w:bottom w:val="single" w:color="auto" w:sz="4" w:space="0"/>
              <w:right w:val="single" w:color="auto" w:sz="4" w:space="0"/>
            </w:tcBorders>
            <w:noWrap w:val="0"/>
            <w:vAlign w:val="center"/>
          </w:tcPr>
          <w:p w14:paraId="485B350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AFM设备</w:t>
            </w:r>
          </w:p>
        </w:tc>
        <w:tc>
          <w:tcPr>
            <w:tcW w:w="1080" w:type="dxa"/>
            <w:tcBorders>
              <w:top w:val="nil"/>
              <w:left w:val="nil"/>
              <w:bottom w:val="single" w:color="auto" w:sz="4" w:space="0"/>
              <w:right w:val="single" w:color="auto" w:sz="4" w:space="0"/>
            </w:tcBorders>
            <w:noWrap/>
            <w:vAlign w:val="center"/>
          </w:tcPr>
          <w:p w14:paraId="4D955BF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69E91402">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36F553D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w:t>
            </w:r>
          </w:p>
        </w:tc>
        <w:tc>
          <w:tcPr>
            <w:tcW w:w="5520" w:type="dxa"/>
            <w:tcBorders>
              <w:top w:val="nil"/>
              <w:left w:val="nil"/>
              <w:bottom w:val="single" w:color="auto" w:sz="4" w:space="0"/>
              <w:right w:val="single" w:color="auto" w:sz="4" w:space="0"/>
            </w:tcBorders>
            <w:noWrap w:val="0"/>
            <w:vAlign w:val="center"/>
          </w:tcPr>
          <w:p w14:paraId="59E41D5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半导体参数分析仪</w:t>
            </w:r>
          </w:p>
        </w:tc>
        <w:tc>
          <w:tcPr>
            <w:tcW w:w="1080" w:type="dxa"/>
            <w:tcBorders>
              <w:top w:val="nil"/>
              <w:left w:val="nil"/>
              <w:bottom w:val="single" w:color="auto" w:sz="4" w:space="0"/>
              <w:right w:val="single" w:color="auto" w:sz="4" w:space="0"/>
            </w:tcBorders>
            <w:noWrap/>
            <w:vAlign w:val="center"/>
          </w:tcPr>
          <w:p w14:paraId="2775554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540069FE">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3AC7459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21</w:t>
            </w:r>
          </w:p>
        </w:tc>
        <w:tc>
          <w:tcPr>
            <w:tcW w:w="5520" w:type="dxa"/>
            <w:tcBorders>
              <w:top w:val="nil"/>
              <w:left w:val="nil"/>
              <w:bottom w:val="single" w:color="auto" w:sz="4" w:space="0"/>
              <w:right w:val="single" w:color="auto" w:sz="4" w:space="0"/>
            </w:tcBorders>
            <w:noWrap w:val="0"/>
            <w:vAlign w:val="center"/>
          </w:tcPr>
          <w:p w14:paraId="0D48F0D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功率器件分析仪</w:t>
            </w:r>
          </w:p>
        </w:tc>
        <w:tc>
          <w:tcPr>
            <w:tcW w:w="1080" w:type="dxa"/>
            <w:tcBorders>
              <w:top w:val="nil"/>
              <w:left w:val="nil"/>
              <w:bottom w:val="single" w:color="auto" w:sz="4" w:space="0"/>
              <w:right w:val="single" w:color="auto" w:sz="4" w:space="0"/>
            </w:tcBorders>
            <w:noWrap w:val="0"/>
            <w:vAlign w:val="center"/>
          </w:tcPr>
          <w:p w14:paraId="550B100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2DB71AC6">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57581C2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22</w:t>
            </w:r>
          </w:p>
        </w:tc>
        <w:tc>
          <w:tcPr>
            <w:tcW w:w="5520" w:type="dxa"/>
            <w:tcBorders>
              <w:top w:val="nil"/>
              <w:left w:val="nil"/>
              <w:bottom w:val="single" w:color="auto" w:sz="4" w:space="0"/>
              <w:right w:val="single" w:color="auto" w:sz="4" w:space="0"/>
            </w:tcBorders>
            <w:noWrap w:val="0"/>
            <w:vAlign w:val="center"/>
          </w:tcPr>
          <w:p w14:paraId="03FCDC8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矢量网络分析仪</w:t>
            </w:r>
          </w:p>
        </w:tc>
        <w:tc>
          <w:tcPr>
            <w:tcW w:w="1080" w:type="dxa"/>
            <w:tcBorders>
              <w:top w:val="nil"/>
              <w:left w:val="nil"/>
              <w:bottom w:val="single" w:color="auto" w:sz="4" w:space="0"/>
              <w:right w:val="single" w:color="auto" w:sz="4" w:space="0"/>
            </w:tcBorders>
            <w:noWrap w:val="0"/>
            <w:vAlign w:val="center"/>
          </w:tcPr>
          <w:p w14:paraId="1F43795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18286746">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0059DD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23</w:t>
            </w:r>
          </w:p>
        </w:tc>
        <w:tc>
          <w:tcPr>
            <w:tcW w:w="5520" w:type="dxa"/>
            <w:tcBorders>
              <w:top w:val="nil"/>
              <w:left w:val="nil"/>
              <w:bottom w:val="single" w:color="auto" w:sz="4" w:space="0"/>
              <w:right w:val="single" w:color="auto" w:sz="4" w:space="0"/>
            </w:tcBorders>
            <w:noWrap w:val="0"/>
            <w:vAlign w:val="center"/>
          </w:tcPr>
          <w:p w14:paraId="5E97850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热蒸发-电子束蒸发二合一系统</w:t>
            </w:r>
          </w:p>
        </w:tc>
        <w:tc>
          <w:tcPr>
            <w:tcW w:w="1080" w:type="dxa"/>
            <w:tcBorders>
              <w:top w:val="nil"/>
              <w:left w:val="nil"/>
              <w:bottom w:val="single" w:color="auto" w:sz="4" w:space="0"/>
              <w:right w:val="single" w:color="auto" w:sz="4" w:space="0"/>
            </w:tcBorders>
            <w:noWrap w:val="0"/>
            <w:vAlign w:val="center"/>
          </w:tcPr>
          <w:p w14:paraId="3C52011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32D9C51F">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7560F91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24</w:t>
            </w:r>
          </w:p>
        </w:tc>
        <w:tc>
          <w:tcPr>
            <w:tcW w:w="5520" w:type="dxa"/>
            <w:tcBorders>
              <w:top w:val="nil"/>
              <w:left w:val="nil"/>
              <w:bottom w:val="single" w:color="auto" w:sz="4" w:space="0"/>
              <w:right w:val="single" w:color="auto" w:sz="4" w:space="0"/>
            </w:tcBorders>
            <w:noWrap w:val="0"/>
            <w:vAlign w:val="center"/>
          </w:tcPr>
          <w:p w14:paraId="4A4356C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ITO生长设备</w:t>
            </w:r>
          </w:p>
        </w:tc>
        <w:tc>
          <w:tcPr>
            <w:tcW w:w="1080" w:type="dxa"/>
            <w:tcBorders>
              <w:top w:val="nil"/>
              <w:left w:val="nil"/>
              <w:bottom w:val="single" w:color="auto" w:sz="4" w:space="0"/>
              <w:right w:val="single" w:color="auto" w:sz="4" w:space="0"/>
            </w:tcBorders>
            <w:noWrap w:val="0"/>
            <w:vAlign w:val="center"/>
          </w:tcPr>
          <w:p w14:paraId="3CCFBB6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73320C9">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8AB802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25</w:t>
            </w:r>
          </w:p>
        </w:tc>
        <w:tc>
          <w:tcPr>
            <w:tcW w:w="5520" w:type="dxa"/>
            <w:tcBorders>
              <w:top w:val="nil"/>
              <w:left w:val="nil"/>
              <w:bottom w:val="single" w:color="auto" w:sz="4" w:space="0"/>
              <w:right w:val="single" w:color="auto" w:sz="4" w:space="0"/>
            </w:tcBorders>
            <w:noWrap w:val="0"/>
            <w:vAlign w:val="center"/>
          </w:tcPr>
          <w:p w14:paraId="0F97F8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双恒电位仪</w:t>
            </w:r>
          </w:p>
        </w:tc>
        <w:tc>
          <w:tcPr>
            <w:tcW w:w="1080" w:type="dxa"/>
            <w:tcBorders>
              <w:top w:val="nil"/>
              <w:left w:val="nil"/>
              <w:bottom w:val="single" w:color="auto" w:sz="4" w:space="0"/>
              <w:right w:val="single" w:color="auto" w:sz="4" w:space="0"/>
            </w:tcBorders>
            <w:noWrap w:val="0"/>
            <w:vAlign w:val="center"/>
          </w:tcPr>
          <w:p w14:paraId="302C2DD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34E0A6D6">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5FB0C9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26</w:t>
            </w:r>
          </w:p>
        </w:tc>
        <w:tc>
          <w:tcPr>
            <w:tcW w:w="5520" w:type="dxa"/>
            <w:tcBorders>
              <w:top w:val="nil"/>
              <w:left w:val="nil"/>
              <w:bottom w:val="single" w:color="auto" w:sz="4" w:space="0"/>
              <w:right w:val="single" w:color="auto" w:sz="4" w:space="0"/>
            </w:tcBorders>
            <w:noWrap w:val="0"/>
            <w:vAlign w:val="center"/>
          </w:tcPr>
          <w:p w14:paraId="0B2FD5B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双工位手套箱</w:t>
            </w:r>
          </w:p>
        </w:tc>
        <w:tc>
          <w:tcPr>
            <w:tcW w:w="1080" w:type="dxa"/>
            <w:tcBorders>
              <w:top w:val="nil"/>
              <w:left w:val="nil"/>
              <w:bottom w:val="single" w:color="auto" w:sz="4" w:space="0"/>
              <w:right w:val="single" w:color="auto" w:sz="4" w:space="0"/>
            </w:tcBorders>
            <w:noWrap w:val="0"/>
            <w:vAlign w:val="center"/>
          </w:tcPr>
          <w:p w14:paraId="59C779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25457FAB">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3C609AE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27</w:t>
            </w:r>
          </w:p>
        </w:tc>
        <w:tc>
          <w:tcPr>
            <w:tcW w:w="5520" w:type="dxa"/>
            <w:tcBorders>
              <w:top w:val="nil"/>
              <w:left w:val="nil"/>
              <w:bottom w:val="single" w:color="auto" w:sz="4" w:space="0"/>
              <w:right w:val="single" w:color="auto" w:sz="4" w:space="0"/>
            </w:tcBorders>
            <w:noWrap/>
            <w:vAlign w:val="center"/>
          </w:tcPr>
          <w:p w14:paraId="7425107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管式退火炉</w:t>
            </w:r>
          </w:p>
        </w:tc>
        <w:tc>
          <w:tcPr>
            <w:tcW w:w="1080" w:type="dxa"/>
            <w:tcBorders>
              <w:top w:val="nil"/>
              <w:left w:val="nil"/>
              <w:bottom w:val="single" w:color="auto" w:sz="4" w:space="0"/>
              <w:right w:val="single" w:color="auto" w:sz="4" w:space="0"/>
            </w:tcBorders>
            <w:noWrap w:val="0"/>
            <w:vAlign w:val="center"/>
          </w:tcPr>
          <w:p w14:paraId="2454C14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04BF10C3">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017E2C1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28</w:t>
            </w:r>
          </w:p>
        </w:tc>
        <w:tc>
          <w:tcPr>
            <w:tcW w:w="5520" w:type="dxa"/>
            <w:tcBorders>
              <w:top w:val="nil"/>
              <w:left w:val="nil"/>
              <w:bottom w:val="single" w:color="auto" w:sz="4" w:space="0"/>
              <w:right w:val="single" w:color="auto" w:sz="4" w:space="0"/>
            </w:tcBorders>
            <w:noWrap w:val="0"/>
            <w:vAlign w:val="center"/>
          </w:tcPr>
          <w:p w14:paraId="0F7FA7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箱式退火炉</w:t>
            </w:r>
          </w:p>
        </w:tc>
        <w:tc>
          <w:tcPr>
            <w:tcW w:w="1080" w:type="dxa"/>
            <w:tcBorders>
              <w:top w:val="nil"/>
              <w:left w:val="nil"/>
              <w:bottom w:val="single" w:color="auto" w:sz="4" w:space="0"/>
              <w:right w:val="single" w:color="auto" w:sz="4" w:space="0"/>
            </w:tcBorders>
            <w:noWrap w:val="0"/>
            <w:vAlign w:val="center"/>
          </w:tcPr>
          <w:p w14:paraId="331182A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475F5F5D">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0BDC9F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29</w:t>
            </w:r>
          </w:p>
        </w:tc>
        <w:tc>
          <w:tcPr>
            <w:tcW w:w="5520" w:type="dxa"/>
            <w:tcBorders>
              <w:top w:val="nil"/>
              <w:left w:val="nil"/>
              <w:bottom w:val="single" w:color="auto" w:sz="4" w:space="0"/>
              <w:right w:val="single" w:color="auto" w:sz="4" w:space="0"/>
            </w:tcBorders>
            <w:noWrap w:val="0"/>
            <w:vAlign w:val="center"/>
          </w:tcPr>
          <w:p w14:paraId="7978C01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匀胶机</w:t>
            </w:r>
          </w:p>
        </w:tc>
        <w:tc>
          <w:tcPr>
            <w:tcW w:w="1080" w:type="dxa"/>
            <w:tcBorders>
              <w:top w:val="nil"/>
              <w:left w:val="nil"/>
              <w:bottom w:val="single" w:color="auto" w:sz="4" w:space="0"/>
              <w:right w:val="single" w:color="auto" w:sz="4" w:space="0"/>
            </w:tcBorders>
            <w:noWrap w:val="0"/>
            <w:vAlign w:val="center"/>
          </w:tcPr>
          <w:p w14:paraId="0E2AF82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B6DC75C">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30D0796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30</w:t>
            </w:r>
          </w:p>
        </w:tc>
        <w:tc>
          <w:tcPr>
            <w:tcW w:w="5520" w:type="dxa"/>
            <w:tcBorders>
              <w:top w:val="nil"/>
              <w:left w:val="nil"/>
              <w:bottom w:val="single" w:color="auto" w:sz="4" w:space="0"/>
              <w:right w:val="single" w:color="auto" w:sz="4" w:space="0"/>
            </w:tcBorders>
            <w:noWrap w:val="0"/>
            <w:vAlign w:val="center"/>
          </w:tcPr>
          <w:p w14:paraId="1AC9B82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桌面显影机</w:t>
            </w:r>
          </w:p>
        </w:tc>
        <w:tc>
          <w:tcPr>
            <w:tcW w:w="1080" w:type="dxa"/>
            <w:tcBorders>
              <w:top w:val="nil"/>
              <w:left w:val="nil"/>
              <w:bottom w:val="single" w:color="auto" w:sz="4" w:space="0"/>
              <w:right w:val="single" w:color="auto" w:sz="4" w:space="0"/>
            </w:tcBorders>
            <w:noWrap w:val="0"/>
            <w:vAlign w:val="center"/>
          </w:tcPr>
          <w:p w14:paraId="5C30669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6E3ECB49">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C4ACAE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31</w:t>
            </w:r>
          </w:p>
        </w:tc>
        <w:tc>
          <w:tcPr>
            <w:tcW w:w="5520" w:type="dxa"/>
            <w:tcBorders>
              <w:top w:val="nil"/>
              <w:left w:val="nil"/>
              <w:bottom w:val="single" w:color="auto" w:sz="4" w:space="0"/>
              <w:right w:val="single" w:color="auto" w:sz="4" w:space="0"/>
            </w:tcBorders>
            <w:noWrap w:val="0"/>
            <w:vAlign w:val="center"/>
          </w:tcPr>
          <w:p w14:paraId="3DB376F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RCA清洗机</w:t>
            </w:r>
          </w:p>
        </w:tc>
        <w:tc>
          <w:tcPr>
            <w:tcW w:w="1080" w:type="dxa"/>
            <w:tcBorders>
              <w:top w:val="nil"/>
              <w:left w:val="nil"/>
              <w:bottom w:val="single" w:color="auto" w:sz="4" w:space="0"/>
              <w:right w:val="single" w:color="auto" w:sz="4" w:space="0"/>
            </w:tcBorders>
            <w:noWrap w:val="0"/>
            <w:vAlign w:val="center"/>
          </w:tcPr>
          <w:p w14:paraId="3A55147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22E8A916">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1C32AED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32</w:t>
            </w:r>
          </w:p>
        </w:tc>
        <w:tc>
          <w:tcPr>
            <w:tcW w:w="5520" w:type="dxa"/>
            <w:tcBorders>
              <w:top w:val="nil"/>
              <w:left w:val="nil"/>
              <w:bottom w:val="single" w:color="auto" w:sz="4" w:space="0"/>
              <w:right w:val="single" w:color="auto" w:sz="4" w:space="0"/>
            </w:tcBorders>
            <w:noWrap w:val="0"/>
            <w:vAlign w:val="center"/>
          </w:tcPr>
          <w:p w14:paraId="06E1DBD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铁电测试仪</w:t>
            </w:r>
          </w:p>
        </w:tc>
        <w:tc>
          <w:tcPr>
            <w:tcW w:w="1080" w:type="dxa"/>
            <w:tcBorders>
              <w:top w:val="nil"/>
              <w:left w:val="nil"/>
              <w:bottom w:val="single" w:color="auto" w:sz="4" w:space="0"/>
              <w:right w:val="single" w:color="auto" w:sz="4" w:space="0"/>
            </w:tcBorders>
            <w:noWrap w:val="0"/>
            <w:vAlign w:val="center"/>
          </w:tcPr>
          <w:p w14:paraId="1A0244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38980913">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161055F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33</w:t>
            </w:r>
          </w:p>
        </w:tc>
        <w:tc>
          <w:tcPr>
            <w:tcW w:w="5520" w:type="dxa"/>
            <w:tcBorders>
              <w:top w:val="nil"/>
              <w:left w:val="nil"/>
              <w:bottom w:val="single" w:color="auto" w:sz="4" w:space="0"/>
              <w:right w:val="single" w:color="auto" w:sz="4" w:space="0"/>
            </w:tcBorders>
            <w:noWrap w:val="0"/>
            <w:vAlign w:val="center"/>
          </w:tcPr>
          <w:p w14:paraId="0A87F01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光学显微镜</w:t>
            </w:r>
          </w:p>
        </w:tc>
        <w:tc>
          <w:tcPr>
            <w:tcW w:w="1080" w:type="dxa"/>
            <w:tcBorders>
              <w:top w:val="nil"/>
              <w:left w:val="nil"/>
              <w:bottom w:val="single" w:color="auto" w:sz="4" w:space="0"/>
              <w:right w:val="single" w:color="auto" w:sz="4" w:space="0"/>
            </w:tcBorders>
            <w:noWrap w:val="0"/>
            <w:vAlign w:val="center"/>
          </w:tcPr>
          <w:p w14:paraId="7B05DA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0C58298F">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1A5A0A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34</w:t>
            </w:r>
          </w:p>
        </w:tc>
        <w:tc>
          <w:tcPr>
            <w:tcW w:w="5520" w:type="dxa"/>
            <w:tcBorders>
              <w:top w:val="nil"/>
              <w:left w:val="nil"/>
              <w:bottom w:val="single" w:color="auto" w:sz="4" w:space="0"/>
              <w:right w:val="single" w:color="auto" w:sz="4" w:space="0"/>
            </w:tcBorders>
            <w:noWrap w:val="0"/>
            <w:vAlign w:val="center"/>
          </w:tcPr>
          <w:p w14:paraId="3DF9284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准分子激光器</w:t>
            </w:r>
          </w:p>
        </w:tc>
        <w:tc>
          <w:tcPr>
            <w:tcW w:w="1080" w:type="dxa"/>
            <w:tcBorders>
              <w:top w:val="nil"/>
              <w:left w:val="nil"/>
              <w:bottom w:val="single" w:color="auto" w:sz="4" w:space="0"/>
              <w:right w:val="single" w:color="auto" w:sz="4" w:space="0"/>
            </w:tcBorders>
            <w:noWrap w:val="0"/>
            <w:vAlign w:val="center"/>
          </w:tcPr>
          <w:p w14:paraId="1F4785F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56CD188E">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001B2FB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35</w:t>
            </w:r>
          </w:p>
        </w:tc>
        <w:tc>
          <w:tcPr>
            <w:tcW w:w="5520" w:type="dxa"/>
            <w:tcBorders>
              <w:top w:val="nil"/>
              <w:left w:val="nil"/>
              <w:bottom w:val="single" w:color="auto" w:sz="4" w:space="0"/>
              <w:right w:val="single" w:color="auto" w:sz="4" w:space="0"/>
            </w:tcBorders>
            <w:noWrap w:val="0"/>
            <w:vAlign w:val="center"/>
          </w:tcPr>
          <w:p w14:paraId="6E3AAA6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光纤激光器</w:t>
            </w:r>
          </w:p>
        </w:tc>
        <w:tc>
          <w:tcPr>
            <w:tcW w:w="1080" w:type="dxa"/>
            <w:tcBorders>
              <w:top w:val="nil"/>
              <w:left w:val="nil"/>
              <w:bottom w:val="single" w:color="auto" w:sz="4" w:space="0"/>
              <w:right w:val="single" w:color="auto" w:sz="4" w:space="0"/>
            </w:tcBorders>
            <w:noWrap w:val="0"/>
            <w:vAlign w:val="center"/>
          </w:tcPr>
          <w:p w14:paraId="54AD489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660932B8">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7075773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36</w:t>
            </w:r>
          </w:p>
        </w:tc>
        <w:tc>
          <w:tcPr>
            <w:tcW w:w="5520" w:type="dxa"/>
            <w:tcBorders>
              <w:top w:val="nil"/>
              <w:left w:val="nil"/>
              <w:bottom w:val="single" w:color="auto" w:sz="4" w:space="0"/>
              <w:right w:val="single" w:color="auto" w:sz="4" w:space="0"/>
            </w:tcBorders>
            <w:noWrap w:val="0"/>
            <w:vAlign w:val="center"/>
          </w:tcPr>
          <w:p w14:paraId="4F42EF9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原子力显微镜</w:t>
            </w:r>
          </w:p>
        </w:tc>
        <w:tc>
          <w:tcPr>
            <w:tcW w:w="1080" w:type="dxa"/>
            <w:tcBorders>
              <w:top w:val="nil"/>
              <w:left w:val="nil"/>
              <w:bottom w:val="single" w:color="auto" w:sz="4" w:space="0"/>
              <w:right w:val="single" w:color="auto" w:sz="4" w:space="0"/>
            </w:tcBorders>
            <w:noWrap w:val="0"/>
            <w:vAlign w:val="center"/>
          </w:tcPr>
          <w:p w14:paraId="0600BA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357AA711">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3342C6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37</w:t>
            </w:r>
          </w:p>
        </w:tc>
        <w:tc>
          <w:tcPr>
            <w:tcW w:w="5520" w:type="dxa"/>
            <w:tcBorders>
              <w:top w:val="nil"/>
              <w:left w:val="nil"/>
              <w:bottom w:val="single" w:color="auto" w:sz="4" w:space="0"/>
              <w:right w:val="single" w:color="auto" w:sz="4" w:space="0"/>
            </w:tcBorders>
            <w:noWrap w:val="0"/>
            <w:vAlign w:val="center"/>
          </w:tcPr>
          <w:p w14:paraId="7B44DDA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傅里叶红外光谱仪</w:t>
            </w:r>
          </w:p>
        </w:tc>
        <w:tc>
          <w:tcPr>
            <w:tcW w:w="1080" w:type="dxa"/>
            <w:tcBorders>
              <w:top w:val="nil"/>
              <w:left w:val="nil"/>
              <w:bottom w:val="single" w:color="auto" w:sz="4" w:space="0"/>
              <w:right w:val="single" w:color="auto" w:sz="4" w:space="0"/>
            </w:tcBorders>
            <w:noWrap w:val="0"/>
            <w:vAlign w:val="center"/>
          </w:tcPr>
          <w:p w14:paraId="228109F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16C3C2A0">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7F94A26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38</w:t>
            </w:r>
          </w:p>
        </w:tc>
        <w:tc>
          <w:tcPr>
            <w:tcW w:w="5520" w:type="dxa"/>
            <w:tcBorders>
              <w:top w:val="nil"/>
              <w:left w:val="nil"/>
              <w:bottom w:val="single" w:color="auto" w:sz="4" w:space="0"/>
              <w:right w:val="single" w:color="auto" w:sz="4" w:space="0"/>
            </w:tcBorders>
            <w:noWrap w:val="0"/>
            <w:vAlign w:val="center"/>
          </w:tcPr>
          <w:p w14:paraId="6B5E2EF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高灵敏微型光谱仪</w:t>
            </w:r>
          </w:p>
        </w:tc>
        <w:tc>
          <w:tcPr>
            <w:tcW w:w="1080" w:type="dxa"/>
            <w:tcBorders>
              <w:top w:val="nil"/>
              <w:left w:val="nil"/>
              <w:bottom w:val="single" w:color="auto" w:sz="4" w:space="0"/>
              <w:right w:val="single" w:color="auto" w:sz="4" w:space="0"/>
            </w:tcBorders>
            <w:noWrap w:val="0"/>
            <w:vAlign w:val="center"/>
          </w:tcPr>
          <w:p w14:paraId="5881975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81B329A">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712FB34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39</w:t>
            </w:r>
          </w:p>
        </w:tc>
        <w:tc>
          <w:tcPr>
            <w:tcW w:w="5520" w:type="dxa"/>
            <w:tcBorders>
              <w:top w:val="nil"/>
              <w:left w:val="nil"/>
              <w:bottom w:val="single" w:color="auto" w:sz="4" w:space="0"/>
              <w:right w:val="single" w:color="auto" w:sz="4" w:space="0"/>
            </w:tcBorders>
            <w:noWrap w:val="0"/>
            <w:vAlign w:val="center"/>
          </w:tcPr>
          <w:p w14:paraId="2B6214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任意函数信号发生器</w:t>
            </w:r>
          </w:p>
        </w:tc>
        <w:tc>
          <w:tcPr>
            <w:tcW w:w="1080" w:type="dxa"/>
            <w:tcBorders>
              <w:top w:val="nil"/>
              <w:left w:val="nil"/>
              <w:bottom w:val="single" w:color="auto" w:sz="4" w:space="0"/>
              <w:right w:val="single" w:color="auto" w:sz="4" w:space="0"/>
            </w:tcBorders>
            <w:noWrap w:val="0"/>
            <w:vAlign w:val="center"/>
          </w:tcPr>
          <w:p w14:paraId="0C28076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0D1ABB52">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791CDF7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40</w:t>
            </w:r>
          </w:p>
        </w:tc>
        <w:tc>
          <w:tcPr>
            <w:tcW w:w="5520" w:type="dxa"/>
            <w:tcBorders>
              <w:top w:val="nil"/>
              <w:left w:val="nil"/>
              <w:bottom w:val="single" w:color="auto" w:sz="4" w:space="0"/>
              <w:right w:val="single" w:color="auto" w:sz="4" w:space="0"/>
            </w:tcBorders>
            <w:noWrap w:val="0"/>
            <w:vAlign w:val="center"/>
          </w:tcPr>
          <w:p w14:paraId="5F3CFE0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信号采集系统</w:t>
            </w:r>
          </w:p>
        </w:tc>
        <w:tc>
          <w:tcPr>
            <w:tcW w:w="1080" w:type="dxa"/>
            <w:tcBorders>
              <w:top w:val="nil"/>
              <w:left w:val="nil"/>
              <w:bottom w:val="single" w:color="auto" w:sz="4" w:space="0"/>
              <w:right w:val="single" w:color="auto" w:sz="4" w:space="0"/>
            </w:tcBorders>
            <w:noWrap w:val="0"/>
            <w:vAlign w:val="center"/>
          </w:tcPr>
          <w:p w14:paraId="1AA70D6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23515257">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12BC01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41</w:t>
            </w:r>
          </w:p>
        </w:tc>
        <w:tc>
          <w:tcPr>
            <w:tcW w:w="5520" w:type="dxa"/>
            <w:tcBorders>
              <w:top w:val="nil"/>
              <w:left w:val="nil"/>
              <w:bottom w:val="single" w:color="auto" w:sz="4" w:space="0"/>
              <w:right w:val="single" w:color="auto" w:sz="4" w:space="0"/>
            </w:tcBorders>
            <w:noWrap w:val="0"/>
            <w:vAlign w:val="center"/>
          </w:tcPr>
          <w:p w14:paraId="5DF4C1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多功能高速皮秒脉冲光源</w:t>
            </w:r>
          </w:p>
        </w:tc>
        <w:tc>
          <w:tcPr>
            <w:tcW w:w="1080" w:type="dxa"/>
            <w:tcBorders>
              <w:top w:val="nil"/>
              <w:left w:val="nil"/>
              <w:bottom w:val="single" w:color="auto" w:sz="4" w:space="0"/>
              <w:right w:val="single" w:color="auto" w:sz="4" w:space="0"/>
            </w:tcBorders>
            <w:noWrap w:val="0"/>
            <w:vAlign w:val="center"/>
          </w:tcPr>
          <w:p w14:paraId="453EB2E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66D9AF9A">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805E4B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42</w:t>
            </w:r>
          </w:p>
        </w:tc>
        <w:tc>
          <w:tcPr>
            <w:tcW w:w="5520" w:type="dxa"/>
            <w:tcBorders>
              <w:top w:val="nil"/>
              <w:left w:val="nil"/>
              <w:bottom w:val="single" w:color="auto" w:sz="4" w:space="0"/>
              <w:right w:val="single" w:color="auto" w:sz="4" w:space="0"/>
            </w:tcBorders>
            <w:noWrap w:val="0"/>
            <w:vAlign w:val="center"/>
          </w:tcPr>
          <w:p w14:paraId="1497A0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雪崩光电二极管门控模式标定机</w:t>
            </w:r>
          </w:p>
        </w:tc>
        <w:tc>
          <w:tcPr>
            <w:tcW w:w="1080" w:type="dxa"/>
            <w:tcBorders>
              <w:top w:val="nil"/>
              <w:left w:val="nil"/>
              <w:bottom w:val="single" w:color="auto" w:sz="4" w:space="0"/>
              <w:right w:val="single" w:color="auto" w:sz="4" w:space="0"/>
            </w:tcBorders>
            <w:noWrap w:val="0"/>
            <w:vAlign w:val="center"/>
          </w:tcPr>
          <w:p w14:paraId="4D7CBF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101810C5">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D687BB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43</w:t>
            </w:r>
          </w:p>
        </w:tc>
        <w:tc>
          <w:tcPr>
            <w:tcW w:w="5520" w:type="dxa"/>
            <w:tcBorders>
              <w:top w:val="nil"/>
              <w:left w:val="nil"/>
              <w:bottom w:val="single" w:color="auto" w:sz="4" w:space="0"/>
              <w:right w:val="single" w:color="auto" w:sz="4" w:space="0"/>
            </w:tcBorders>
            <w:noWrap w:val="0"/>
            <w:vAlign w:val="center"/>
          </w:tcPr>
          <w:p w14:paraId="61071A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雪崩光电二极管自由运行模式标定机</w:t>
            </w:r>
          </w:p>
        </w:tc>
        <w:tc>
          <w:tcPr>
            <w:tcW w:w="1080" w:type="dxa"/>
            <w:tcBorders>
              <w:top w:val="nil"/>
              <w:left w:val="nil"/>
              <w:bottom w:val="single" w:color="auto" w:sz="4" w:space="0"/>
              <w:right w:val="single" w:color="auto" w:sz="4" w:space="0"/>
            </w:tcBorders>
            <w:noWrap w:val="0"/>
            <w:vAlign w:val="center"/>
          </w:tcPr>
          <w:p w14:paraId="37C31BE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4DB40DEF">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3947D4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44</w:t>
            </w:r>
          </w:p>
        </w:tc>
        <w:tc>
          <w:tcPr>
            <w:tcW w:w="5520" w:type="dxa"/>
            <w:tcBorders>
              <w:top w:val="nil"/>
              <w:left w:val="nil"/>
              <w:bottom w:val="single" w:color="auto" w:sz="4" w:space="0"/>
              <w:right w:val="single" w:color="auto" w:sz="4" w:space="0"/>
            </w:tcBorders>
            <w:noWrap w:val="0"/>
            <w:vAlign w:val="center"/>
          </w:tcPr>
          <w:p w14:paraId="3C9C78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HMDS烘箱设备</w:t>
            </w:r>
          </w:p>
        </w:tc>
        <w:tc>
          <w:tcPr>
            <w:tcW w:w="1080" w:type="dxa"/>
            <w:tcBorders>
              <w:top w:val="nil"/>
              <w:left w:val="nil"/>
              <w:bottom w:val="single" w:color="auto" w:sz="4" w:space="0"/>
              <w:right w:val="single" w:color="auto" w:sz="4" w:space="0"/>
            </w:tcBorders>
            <w:noWrap w:val="0"/>
            <w:vAlign w:val="center"/>
          </w:tcPr>
          <w:p w14:paraId="25A3A8F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4730CF83">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7A32EE1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45</w:t>
            </w:r>
          </w:p>
        </w:tc>
        <w:tc>
          <w:tcPr>
            <w:tcW w:w="5520" w:type="dxa"/>
            <w:tcBorders>
              <w:top w:val="nil"/>
              <w:left w:val="nil"/>
              <w:bottom w:val="single" w:color="auto" w:sz="4" w:space="0"/>
              <w:right w:val="single" w:color="auto" w:sz="4" w:space="0"/>
            </w:tcBorders>
            <w:noWrap w:val="0"/>
            <w:vAlign w:val="center"/>
          </w:tcPr>
          <w:p w14:paraId="5858CE9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尾气处理器（砷化镓）</w:t>
            </w:r>
          </w:p>
        </w:tc>
        <w:tc>
          <w:tcPr>
            <w:tcW w:w="1080" w:type="dxa"/>
            <w:tcBorders>
              <w:top w:val="nil"/>
              <w:left w:val="nil"/>
              <w:bottom w:val="single" w:color="auto" w:sz="4" w:space="0"/>
              <w:right w:val="single" w:color="auto" w:sz="4" w:space="0"/>
            </w:tcBorders>
            <w:noWrap w:val="0"/>
            <w:vAlign w:val="center"/>
          </w:tcPr>
          <w:p w14:paraId="0B81F07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r>
      <w:tr w14:paraId="02856E76">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5ED050B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46</w:t>
            </w:r>
          </w:p>
        </w:tc>
        <w:tc>
          <w:tcPr>
            <w:tcW w:w="5520" w:type="dxa"/>
            <w:tcBorders>
              <w:top w:val="nil"/>
              <w:left w:val="nil"/>
              <w:bottom w:val="single" w:color="auto" w:sz="4" w:space="0"/>
              <w:right w:val="single" w:color="auto" w:sz="4" w:space="0"/>
            </w:tcBorders>
            <w:noWrap w:val="0"/>
            <w:vAlign w:val="center"/>
          </w:tcPr>
          <w:p w14:paraId="361DE2C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尾气处理器（氮化镓）</w:t>
            </w:r>
          </w:p>
        </w:tc>
        <w:tc>
          <w:tcPr>
            <w:tcW w:w="1080" w:type="dxa"/>
            <w:tcBorders>
              <w:top w:val="nil"/>
              <w:left w:val="nil"/>
              <w:bottom w:val="single" w:color="auto" w:sz="4" w:space="0"/>
              <w:right w:val="single" w:color="auto" w:sz="4" w:space="0"/>
            </w:tcBorders>
            <w:noWrap w:val="0"/>
            <w:vAlign w:val="center"/>
          </w:tcPr>
          <w:p w14:paraId="0C9365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r>
      <w:tr w14:paraId="49F58EBE">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4B71BD8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47</w:t>
            </w:r>
          </w:p>
        </w:tc>
        <w:tc>
          <w:tcPr>
            <w:tcW w:w="5520" w:type="dxa"/>
            <w:tcBorders>
              <w:top w:val="nil"/>
              <w:left w:val="nil"/>
              <w:bottom w:val="single" w:color="auto" w:sz="4" w:space="0"/>
              <w:right w:val="single" w:color="auto" w:sz="4" w:space="0"/>
            </w:tcBorders>
            <w:noWrap w:val="0"/>
            <w:vAlign w:val="center"/>
          </w:tcPr>
          <w:p w14:paraId="67389B2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晶圆甩干机</w:t>
            </w:r>
          </w:p>
        </w:tc>
        <w:tc>
          <w:tcPr>
            <w:tcW w:w="1080" w:type="dxa"/>
            <w:tcBorders>
              <w:top w:val="nil"/>
              <w:left w:val="nil"/>
              <w:bottom w:val="single" w:color="auto" w:sz="4" w:space="0"/>
              <w:right w:val="single" w:color="auto" w:sz="4" w:space="0"/>
            </w:tcBorders>
            <w:noWrap w:val="0"/>
            <w:vAlign w:val="center"/>
          </w:tcPr>
          <w:p w14:paraId="5700EF0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C2F4352">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D057ED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48</w:t>
            </w:r>
          </w:p>
        </w:tc>
        <w:tc>
          <w:tcPr>
            <w:tcW w:w="5520" w:type="dxa"/>
            <w:tcBorders>
              <w:top w:val="nil"/>
              <w:left w:val="nil"/>
              <w:bottom w:val="single" w:color="auto" w:sz="4" w:space="0"/>
              <w:right w:val="single" w:color="auto" w:sz="4" w:space="0"/>
            </w:tcBorders>
            <w:noWrap w:val="0"/>
            <w:vAlign w:val="center"/>
          </w:tcPr>
          <w:p w14:paraId="57A5C68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光衰减器</w:t>
            </w:r>
          </w:p>
        </w:tc>
        <w:tc>
          <w:tcPr>
            <w:tcW w:w="1080" w:type="dxa"/>
            <w:tcBorders>
              <w:top w:val="nil"/>
              <w:left w:val="nil"/>
              <w:bottom w:val="single" w:color="auto" w:sz="4" w:space="0"/>
              <w:right w:val="single" w:color="auto" w:sz="4" w:space="0"/>
            </w:tcBorders>
            <w:noWrap w:val="0"/>
            <w:vAlign w:val="center"/>
          </w:tcPr>
          <w:p w14:paraId="02FD69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0532D523">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309867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49</w:t>
            </w:r>
          </w:p>
        </w:tc>
        <w:tc>
          <w:tcPr>
            <w:tcW w:w="5520" w:type="dxa"/>
            <w:tcBorders>
              <w:top w:val="nil"/>
              <w:left w:val="nil"/>
              <w:bottom w:val="single" w:color="auto" w:sz="4" w:space="0"/>
              <w:right w:val="single" w:color="auto" w:sz="4" w:space="0"/>
            </w:tcBorders>
            <w:noWrap w:val="0"/>
            <w:vAlign w:val="center"/>
          </w:tcPr>
          <w:p w14:paraId="7D2FDC3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光功率计</w:t>
            </w:r>
          </w:p>
        </w:tc>
        <w:tc>
          <w:tcPr>
            <w:tcW w:w="1080" w:type="dxa"/>
            <w:tcBorders>
              <w:top w:val="nil"/>
              <w:left w:val="nil"/>
              <w:bottom w:val="single" w:color="auto" w:sz="4" w:space="0"/>
              <w:right w:val="single" w:color="auto" w:sz="4" w:space="0"/>
            </w:tcBorders>
            <w:noWrap w:val="0"/>
            <w:vAlign w:val="center"/>
          </w:tcPr>
          <w:p w14:paraId="3162A71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0CF2D0AE">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5E490B3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50</w:t>
            </w:r>
          </w:p>
        </w:tc>
        <w:tc>
          <w:tcPr>
            <w:tcW w:w="5520" w:type="dxa"/>
            <w:tcBorders>
              <w:top w:val="nil"/>
              <w:left w:val="nil"/>
              <w:bottom w:val="single" w:color="auto" w:sz="4" w:space="0"/>
              <w:right w:val="single" w:color="auto" w:sz="4" w:space="0"/>
            </w:tcBorders>
            <w:noWrap w:val="0"/>
            <w:vAlign w:val="center"/>
          </w:tcPr>
          <w:p w14:paraId="70002E1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氙灯光源</w:t>
            </w:r>
          </w:p>
        </w:tc>
        <w:tc>
          <w:tcPr>
            <w:tcW w:w="1080" w:type="dxa"/>
            <w:tcBorders>
              <w:top w:val="nil"/>
              <w:left w:val="nil"/>
              <w:bottom w:val="single" w:color="auto" w:sz="4" w:space="0"/>
              <w:right w:val="single" w:color="auto" w:sz="4" w:space="0"/>
            </w:tcBorders>
            <w:noWrap w:val="0"/>
            <w:vAlign w:val="center"/>
          </w:tcPr>
          <w:p w14:paraId="2992E21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0E60780C">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4F5F615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w:t>
            </w:r>
          </w:p>
        </w:tc>
        <w:tc>
          <w:tcPr>
            <w:tcW w:w="5520" w:type="dxa"/>
            <w:tcBorders>
              <w:top w:val="nil"/>
              <w:left w:val="nil"/>
              <w:bottom w:val="single" w:color="auto" w:sz="4" w:space="0"/>
              <w:right w:val="single" w:color="auto" w:sz="4" w:space="0"/>
            </w:tcBorders>
            <w:noWrap w:val="0"/>
            <w:vAlign w:val="center"/>
          </w:tcPr>
          <w:p w14:paraId="4FC2BAE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匀胶机</w:t>
            </w:r>
          </w:p>
        </w:tc>
        <w:tc>
          <w:tcPr>
            <w:tcW w:w="1080" w:type="dxa"/>
            <w:tcBorders>
              <w:top w:val="nil"/>
              <w:left w:val="nil"/>
              <w:bottom w:val="single" w:color="auto" w:sz="4" w:space="0"/>
              <w:right w:val="single" w:color="auto" w:sz="4" w:space="0"/>
            </w:tcBorders>
            <w:noWrap w:val="0"/>
            <w:vAlign w:val="center"/>
          </w:tcPr>
          <w:p w14:paraId="4645F7F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575FFDB1">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303353B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52</w:t>
            </w:r>
          </w:p>
        </w:tc>
        <w:tc>
          <w:tcPr>
            <w:tcW w:w="5520" w:type="dxa"/>
            <w:tcBorders>
              <w:top w:val="nil"/>
              <w:left w:val="nil"/>
              <w:bottom w:val="single" w:color="auto" w:sz="4" w:space="0"/>
              <w:right w:val="single" w:color="auto" w:sz="4" w:space="0"/>
            </w:tcBorders>
            <w:noWrap w:val="0"/>
            <w:vAlign w:val="center"/>
          </w:tcPr>
          <w:p w14:paraId="23FE5C0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数字源表</w:t>
            </w:r>
          </w:p>
        </w:tc>
        <w:tc>
          <w:tcPr>
            <w:tcW w:w="1080" w:type="dxa"/>
            <w:tcBorders>
              <w:top w:val="nil"/>
              <w:left w:val="nil"/>
              <w:bottom w:val="single" w:color="auto" w:sz="4" w:space="0"/>
              <w:right w:val="single" w:color="auto" w:sz="4" w:space="0"/>
            </w:tcBorders>
            <w:noWrap w:val="0"/>
            <w:vAlign w:val="center"/>
          </w:tcPr>
          <w:p w14:paraId="31F2499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63656E1F">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08E83A4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53</w:t>
            </w:r>
          </w:p>
        </w:tc>
        <w:tc>
          <w:tcPr>
            <w:tcW w:w="5520" w:type="dxa"/>
            <w:tcBorders>
              <w:top w:val="nil"/>
              <w:left w:val="nil"/>
              <w:bottom w:val="single" w:color="auto" w:sz="4" w:space="0"/>
              <w:right w:val="single" w:color="auto" w:sz="4" w:space="0"/>
            </w:tcBorders>
            <w:noWrap w:val="0"/>
            <w:vAlign w:val="center"/>
          </w:tcPr>
          <w:p w14:paraId="34C650C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X射线源</w:t>
            </w:r>
          </w:p>
        </w:tc>
        <w:tc>
          <w:tcPr>
            <w:tcW w:w="1080" w:type="dxa"/>
            <w:tcBorders>
              <w:top w:val="nil"/>
              <w:left w:val="nil"/>
              <w:bottom w:val="single" w:color="auto" w:sz="4" w:space="0"/>
              <w:right w:val="single" w:color="auto" w:sz="4" w:space="0"/>
            </w:tcBorders>
            <w:noWrap w:val="0"/>
            <w:vAlign w:val="center"/>
          </w:tcPr>
          <w:p w14:paraId="5C0E1A6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5D2579E9">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CC5DF3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54</w:t>
            </w:r>
          </w:p>
        </w:tc>
        <w:tc>
          <w:tcPr>
            <w:tcW w:w="5520" w:type="dxa"/>
            <w:tcBorders>
              <w:top w:val="nil"/>
              <w:left w:val="nil"/>
              <w:bottom w:val="single" w:color="auto" w:sz="4" w:space="0"/>
              <w:right w:val="single" w:color="auto" w:sz="4" w:space="0"/>
            </w:tcBorders>
            <w:noWrap w:val="0"/>
            <w:vAlign w:val="center"/>
          </w:tcPr>
          <w:p w14:paraId="29CB37A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单色仪</w:t>
            </w:r>
          </w:p>
        </w:tc>
        <w:tc>
          <w:tcPr>
            <w:tcW w:w="1080" w:type="dxa"/>
            <w:tcBorders>
              <w:top w:val="nil"/>
              <w:left w:val="nil"/>
              <w:bottom w:val="single" w:color="auto" w:sz="4" w:space="0"/>
              <w:right w:val="single" w:color="auto" w:sz="4" w:space="0"/>
            </w:tcBorders>
            <w:noWrap w:val="0"/>
            <w:vAlign w:val="center"/>
          </w:tcPr>
          <w:p w14:paraId="1D65FBA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556229F6">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61FC6C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55</w:t>
            </w:r>
          </w:p>
        </w:tc>
        <w:tc>
          <w:tcPr>
            <w:tcW w:w="5520" w:type="dxa"/>
            <w:tcBorders>
              <w:top w:val="nil"/>
              <w:left w:val="nil"/>
              <w:bottom w:val="single" w:color="auto" w:sz="4" w:space="0"/>
              <w:right w:val="single" w:color="auto" w:sz="4" w:space="0"/>
            </w:tcBorders>
            <w:noWrap w:val="0"/>
            <w:vAlign w:val="center"/>
          </w:tcPr>
          <w:p w14:paraId="65976F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钨灯光源</w:t>
            </w:r>
          </w:p>
        </w:tc>
        <w:tc>
          <w:tcPr>
            <w:tcW w:w="1080" w:type="dxa"/>
            <w:tcBorders>
              <w:top w:val="nil"/>
              <w:left w:val="nil"/>
              <w:bottom w:val="single" w:color="auto" w:sz="4" w:space="0"/>
              <w:right w:val="single" w:color="auto" w:sz="4" w:space="0"/>
            </w:tcBorders>
            <w:noWrap w:val="0"/>
            <w:vAlign w:val="center"/>
          </w:tcPr>
          <w:p w14:paraId="355AB84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70C080E2">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6556973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56</w:t>
            </w:r>
          </w:p>
        </w:tc>
        <w:tc>
          <w:tcPr>
            <w:tcW w:w="5520" w:type="dxa"/>
            <w:tcBorders>
              <w:top w:val="nil"/>
              <w:left w:val="nil"/>
              <w:bottom w:val="single" w:color="auto" w:sz="4" w:space="0"/>
              <w:right w:val="single" w:color="auto" w:sz="4" w:space="0"/>
            </w:tcBorders>
            <w:noWrap w:val="0"/>
            <w:vAlign w:val="center"/>
          </w:tcPr>
          <w:p w14:paraId="022D4E3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真空冷热台</w:t>
            </w:r>
          </w:p>
        </w:tc>
        <w:tc>
          <w:tcPr>
            <w:tcW w:w="1080" w:type="dxa"/>
            <w:tcBorders>
              <w:top w:val="nil"/>
              <w:left w:val="nil"/>
              <w:bottom w:val="single" w:color="auto" w:sz="4" w:space="0"/>
              <w:right w:val="single" w:color="auto" w:sz="4" w:space="0"/>
            </w:tcBorders>
            <w:noWrap w:val="0"/>
            <w:vAlign w:val="center"/>
          </w:tcPr>
          <w:p w14:paraId="6780404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1C31B8A7">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B21AC4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57</w:t>
            </w:r>
          </w:p>
        </w:tc>
        <w:tc>
          <w:tcPr>
            <w:tcW w:w="5520" w:type="dxa"/>
            <w:tcBorders>
              <w:top w:val="nil"/>
              <w:left w:val="nil"/>
              <w:bottom w:val="single" w:color="auto" w:sz="4" w:space="0"/>
              <w:right w:val="single" w:color="auto" w:sz="4" w:space="0"/>
            </w:tcBorders>
            <w:noWrap w:val="0"/>
            <w:vAlign w:val="center"/>
          </w:tcPr>
          <w:p w14:paraId="5563515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锁相放大器</w:t>
            </w:r>
          </w:p>
        </w:tc>
        <w:tc>
          <w:tcPr>
            <w:tcW w:w="1080" w:type="dxa"/>
            <w:tcBorders>
              <w:top w:val="nil"/>
              <w:left w:val="nil"/>
              <w:bottom w:val="single" w:color="auto" w:sz="4" w:space="0"/>
              <w:right w:val="single" w:color="auto" w:sz="4" w:space="0"/>
            </w:tcBorders>
            <w:noWrap w:val="0"/>
            <w:vAlign w:val="center"/>
          </w:tcPr>
          <w:p w14:paraId="0EAF8CD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r>
      <w:tr w14:paraId="5A282342">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2264857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58</w:t>
            </w:r>
          </w:p>
        </w:tc>
        <w:tc>
          <w:tcPr>
            <w:tcW w:w="5520" w:type="dxa"/>
            <w:tcBorders>
              <w:top w:val="nil"/>
              <w:left w:val="nil"/>
              <w:bottom w:val="single" w:color="auto" w:sz="4" w:space="0"/>
              <w:right w:val="single" w:color="auto" w:sz="4" w:space="0"/>
            </w:tcBorders>
            <w:noWrap w:val="0"/>
            <w:vAlign w:val="center"/>
          </w:tcPr>
          <w:p w14:paraId="1060816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信号发生器</w:t>
            </w:r>
          </w:p>
        </w:tc>
        <w:tc>
          <w:tcPr>
            <w:tcW w:w="1080" w:type="dxa"/>
            <w:tcBorders>
              <w:top w:val="nil"/>
              <w:left w:val="nil"/>
              <w:bottom w:val="single" w:color="auto" w:sz="4" w:space="0"/>
              <w:right w:val="single" w:color="auto" w:sz="4" w:space="0"/>
            </w:tcBorders>
            <w:noWrap w:val="0"/>
            <w:vAlign w:val="center"/>
          </w:tcPr>
          <w:p w14:paraId="3DEB6B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r>
      <w:tr w14:paraId="215CFB76">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7EDB4BD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59</w:t>
            </w:r>
          </w:p>
        </w:tc>
        <w:tc>
          <w:tcPr>
            <w:tcW w:w="5520" w:type="dxa"/>
            <w:tcBorders>
              <w:top w:val="nil"/>
              <w:left w:val="nil"/>
              <w:bottom w:val="single" w:color="auto" w:sz="4" w:space="0"/>
              <w:right w:val="single" w:color="auto" w:sz="4" w:space="0"/>
            </w:tcBorders>
            <w:noWrap w:val="0"/>
            <w:vAlign w:val="center"/>
          </w:tcPr>
          <w:p w14:paraId="17B1813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氮气柜</w:t>
            </w:r>
          </w:p>
        </w:tc>
        <w:tc>
          <w:tcPr>
            <w:tcW w:w="1080" w:type="dxa"/>
            <w:tcBorders>
              <w:top w:val="nil"/>
              <w:left w:val="nil"/>
              <w:bottom w:val="single" w:color="auto" w:sz="4" w:space="0"/>
              <w:right w:val="single" w:color="auto" w:sz="4" w:space="0"/>
            </w:tcBorders>
            <w:noWrap w:val="0"/>
            <w:vAlign w:val="center"/>
          </w:tcPr>
          <w:p w14:paraId="40C02B2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0"/>
                <w:szCs w:val="21"/>
                <w:highlight w:val="none"/>
                <w:lang w:eastAsia="zh" w:bidi="ar"/>
                <w:woUserID w:val="2"/>
              </w:rPr>
            </w:pPr>
            <w:r>
              <w:rPr>
                <w:rFonts w:hint="eastAsia" w:ascii="宋体" w:hAnsi="宋体" w:cs="宋体"/>
                <w:color w:val="auto"/>
                <w:kern w:val="0"/>
                <w:szCs w:val="21"/>
                <w:highlight w:val="none"/>
                <w:lang w:eastAsia="zh" w:bidi="ar"/>
                <w:woUserID w:val="2"/>
              </w:rPr>
              <w:t>4</w:t>
            </w:r>
          </w:p>
        </w:tc>
      </w:tr>
      <w:tr w14:paraId="27E5739A">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586F6DF7">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宋体" w:hAnsi="宋体" w:eastAsia="宋体" w:cs="宋体"/>
                <w:color w:val="auto"/>
                <w:kern w:val="0"/>
                <w:szCs w:val="21"/>
                <w:highlight w:val="none"/>
                <w:lang w:eastAsia="zh" w:bidi="ar"/>
              </w:rPr>
            </w:pPr>
            <w:r>
              <w:rPr>
                <w:rFonts w:hint="eastAsia" w:ascii="宋体" w:hAnsi="宋体" w:cs="宋体"/>
                <w:color w:val="auto"/>
                <w:kern w:val="0"/>
                <w:szCs w:val="21"/>
                <w:highlight w:val="none"/>
                <w:lang w:eastAsia="zh" w:bidi="ar"/>
              </w:rPr>
              <w:t>60</w:t>
            </w:r>
          </w:p>
        </w:tc>
        <w:tc>
          <w:tcPr>
            <w:tcW w:w="5520" w:type="dxa"/>
            <w:tcBorders>
              <w:top w:val="nil"/>
              <w:left w:val="nil"/>
              <w:bottom w:val="single" w:color="auto" w:sz="4" w:space="0"/>
              <w:right w:val="single" w:color="auto" w:sz="4" w:space="0"/>
            </w:tcBorders>
            <w:noWrap w:val="0"/>
            <w:vAlign w:val="center"/>
          </w:tcPr>
          <w:p w14:paraId="1607C813">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宋体" w:hAnsi="宋体" w:eastAsia="宋体" w:cs="宋体"/>
                <w:color w:val="auto"/>
                <w:kern w:val="0"/>
                <w:szCs w:val="21"/>
                <w:highlight w:val="none"/>
                <w:lang w:eastAsia="zh" w:bidi="ar"/>
              </w:rPr>
            </w:pPr>
            <w:r>
              <w:rPr>
                <w:rFonts w:hint="eastAsia" w:ascii="宋体" w:hAnsi="宋体" w:cs="宋体"/>
                <w:color w:val="auto"/>
                <w:kern w:val="0"/>
                <w:szCs w:val="21"/>
                <w:highlight w:val="none"/>
                <w:lang w:eastAsia="zh" w:bidi="ar"/>
              </w:rPr>
              <w:t>通风橱</w:t>
            </w:r>
          </w:p>
        </w:tc>
        <w:tc>
          <w:tcPr>
            <w:tcW w:w="1080" w:type="dxa"/>
            <w:tcBorders>
              <w:top w:val="nil"/>
              <w:left w:val="nil"/>
              <w:bottom w:val="single" w:color="auto" w:sz="4" w:space="0"/>
              <w:right w:val="single" w:color="auto" w:sz="4" w:space="0"/>
            </w:tcBorders>
            <w:noWrap w:val="0"/>
            <w:vAlign w:val="center"/>
          </w:tcPr>
          <w:p w14:paraId="0A5B5A36">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宋体" w:hAnsi="宋体" w:eastAsia="宋体" w:cs="宋体"/>
                <w:color w:val="auto"/>
                <w:kern w:val="0"/>
                <w:szCs w:val="21"/>
                <w:highlight w:val="none"/>
                <w:lang w:eastAsia="zh" w:bidi="ar"/>
                <w:woUserID w:val="2"/>
              </w:rPr>
            </w:pPr>
            <w:r>
              <w:rPr>
                <w:rFonts w:hint="eastAsia" w:ascii="宋体" w:hAnsi="宋体" w:cs="宋体"/>
                <w:color w:val="auto"/>
                <w:kern w:val="0"/>
                <w:szCs w:val="21"/>
                <w:highlight w:val="none"/>
                <w:lang w:eastAsia="zh" w:bidi="ar"/>
                <w:woUserID w:val="2"/>
              </w:rPr>
              <w:t>4</w:t>
            </w:r>
          </w:p>
        </w:tc>
      </w:tr>
      <w:tr w14:paraId="2EAB136F">
        <w:tblPrEx>
          <w:tblCellMar>
            <w:top w:w="0" w:type="dxa"/>
            <w:left w:w="108" w:type="dxa"/>
            <w:bottom w:w="0" w:type="dxa"/>
            <w:right w:w="108" w:type="dxa"/>
          </w:tblCellMar>
        </w:tblPrEx>
        <w:trPr>
          <w:trHeight w:val="312" w:hRule="atLeast"/>
          <w:jc w:val="center"/>
        </w:trPr>
        <w:tc>
          <w:tcPr>
            <w:tcW w:w="1080" w:type="dxa"/>
            <w:tcBorders>
              <w:top w:val="nil"/>
              <w:left w:val="single" w:color="auto" w:sz="4" w:space="0"/>
              <w:bottom w:val="single" w:color="auto" w:sz="4" w:space="0"/>
              <w:right w:val="single" w:color="auto" w:sz="4" w:space="0"/>
            </w:tcBorders>
            <w:noWrap/>
            <w:vAlign w:val="center"/>
          </w:tcPr>
          <w:p w14:paraId="1C0E86F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0"/>
                <w:szCs w:val="21"/>
                <w:highlight w:val="none"/>
                <w:lang w:eastAsia="zh" w:bidi="ar"/>
              </w:rPr>
            </w:pPr>
            <w:r>
              <w:rPr>
                <w:rFonts w:hint="eastAsia" w:ascii="宋体" w:hAnsi="宋体" w:cs="宋体"/>
                <w:color w:val="auto"/>
                <w:kern w:val="0"/>
                <w:szCs w:val="21"/>
                <w:highlight w:val="none"/>
                <w:lang w:bidi="ar"/>
              </w:rPr>
              <w:t>6</w:t>
            </w:r>
            <w:r>
              <w:rPr>
                <w:rFonts w:hint="eastAsia" w:ascii="宋体" w:hAnsi="宋体" w:cs="宋体"/>
                <w:color w:val="auto"/>
                <w:kern w:val="0"/>
                <w:szCs w:val="21"/>
                <w:highlight w:val="none"/>
                <w:lang w:eastAsia="zh" w:bidi="ar"/>
              </w:rPr>
              <w:t>1</w:t>
            </w:r>
          </w:p>
        </w:tc>
        <w:tc>
          <w:tcPr>
            <w:tcW w:w="5520" w:type="dxa"/>
            <w:tcBorders>
              <w:top w:val="nil"/>
              <w:left w:val="nil"/>
              <w:bottom w:val="single" w:color="auto" w:sz="4" w:space="0"/>
              <w:right w:val="single" w:color="auto" w:sz="4" w:space="0"/>
            </w:tcBorders>
            <w:noWrap w:val="0"/>
            <w:vAlign w:val="center"/>
          </w:tcPr>
          <w:p w14:paraId="161FA0BE">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宋体" w:hAnsi="宋体" w:eastAsia="宋体" w:cs="宋体"/>
                <w:color w:val="auto"/>
                <w:kern w:val="0"/>
                <w:szCs w:val="21"/>
                <w:highlight w:val="none"/>
                <w:lang w:eastAsia="zh" w:bidi="ar"/>
                <w:woUserID w:val="2"/>
              </w:rPr>
            </w:pPr>
            <w:r>
              <w:rPr>
                <w:rFonts w:hint="eastAsia" w:ascii="宋体" w:hAnsi="宋体" w:eastAsia="宋体" w:cs="宋体"/>
                <w:color w:val="auto"/>
                <w:kern w:val="0"/>
                <w:szCs w:val="21"/>
                <w:highlight w:val="none"/>
                <w:lang w:eastAsia="zh" w:bidi="ar"/>
              </w:rPr>
              <w:t>石磨盘清洗装置</w:t>
            </w:r>
            <w:r>
              <w:rPr>
                <w:rFonts w:hint="eastAsia" w:ascii="宋体" w:hAnsi="宋体" w:eastAsia="宋体" w:cs="宋体"/>
                <w:color w:val="auto"/>
                <w:kern w:val="0"/>
                <w:szCs w:val="21"/>
                <w:highlight w:val="none"/>
                <w:lang w:eastAsia="zh" w:bidi="ar"/>
                <w:woUserID w:val="2"/>
              </w:rPr>
              <w:t>（MOCVD烤盘炉专用）</w:t>
            </w:r>
            <w:r>
              <w:rPr>
                <w:rFonts w:hint="eastAsia" w:ascii="宋体" w:hAnsi="宋体" w:cs="宋体"/>
                <w:color w:val="auto"/>
                <w:kern w:val="0"/>
                <w:szCs w:val="21"/>
                <w:highlight w:val="none"/>
                <w:lang w:eastAsia="zh" w:bidi="ar"/>
                <w:woUserID w:val="2"/>
              </w:rPr>
              <w:t>，</w:t>
            </w:r>
            <w:r>
              <w:rPr>
                <w:rFonts w:hint="eastAsia" w:ascii="宋体" w:hAnsi="宋体" w:eastAsia="宋体" w:cs="宋体"/>
                <w:color w:val="auto"/>
                <w:kern w:val="0"/>
                <w:szCs w:val="21"/>
                <w:highlight w:val="none"/>
                <w:lang w:eastAsia="zh" w:bidi="ar"/>
                <w:woUserID w:val="2"/>
              </w:rPr>
              <w:t>需单独购置设备</w:t>
            </w:r>
          </w:p>
        </w:tc>
        <w:tc>
          <w:tcPr>
            <w:tcW w:w="1080" w:type="dxa"/>
            <w:tcBorders>
              <w:top w:val="nil"/>
              <w:left w:val="nil"/>
              <w:bottom w:val="single" w:color="auto" w:sz="4" w:space="0"/>
              <w:right w:val="single" w:color="auto" w:sz="4" w:space="0"/>
            </w:tcBorders>
            <w:noWrap w:val="0"/>
            <w:vAlign w:val="center"/>
          </w:tcPr>
          <w:p w14:paraId="16C75BE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r>
    </w:tbl>
    <w:p w14:paraId="08F05A47">
      <w:pPr>
        <w:pStyle w:val="3"/>
        <w:spacing w:line="440" w:lineRule="exact"/>
        <w:jc w:val="left"/>
        <w:rPr>
          <w:rFonts w:hint="eastAsia" w:ascii="宋体" w:hAnsi="宋体" w:eastAsia="宋体" w:cs="宋体"/>
          <w:color w:val="auto"/>
          <w:sz w:val="28"/>
          <w:szCs w:val="28"/>
          <w:highlight w:val="none"/>
        </w:rPr>
      </w:pPr>
      <w:bookmarkStart w:id="1065" w:name="_Toc16213"/>
      <w:bookmarkStart w:id="1066" w:name="_Toc25424"/>
      <w:bookmarkStart w:id="1067" w:name="_Toc27798"/>
      <w:bookmarkStart w:id="1068" w:name="_Toc182248513"/>
      <w:bookmarkStart w:id="1069" w:name="_Toc23845"/>
      <w:r>
        <w:rPr>
          <w:rFonts w:hint="eastAsia" w:ascii="宋体" w:hAnsi="宋体" w:eastAsia="宋体" w:cs="宋体"/>
          <w:color w:val="auto"/>
          <w:sz w:val="28"/>
          <w:szCs w:val="28"/>
          <w:highlight w:val="none"/>
        </w:rPr>
        <w:t>2.技术要求</w:t>
      </w:r>
      <w:bookmarkEnd w:id="1065"/>
      <w:bookmarkEnd w:id="1066"/>
      <w:bookmarkEnd w:id="1067"/>
      <w:bookmarkEnd w:id="1068"/>
      <w:bookmarkEnd w:id="1069"/>
    </w:p>
    <w:p w14:paraId="204EF272">
      <w:pPr>
        <w:spacing w:line="360" w:lineRule="auto"/>
        <w:ind w:right="-105" w:rightChars="-50" w:firstLine="495" w:firstLineChars="235"/>
        <w:outlineLvl w:val="2"/>
        <w:rPr>
          <w:rFonts w:hint="eastAsia" w:ascii="宋体" w:hAnsi="宋体" w:cs="宋体"/>
          <w:b/>
          <w:bCs/>
          <w:color w:val="auto"/>
          <w:szCs w:val="21"/>
          <w:highlight w:val="none"/>
        </w:rPr>
      </w:pPr>
      <w:bookmarkStart w:id="1070" w:name="_Toc22385"/>
      <w:r>
        <w:rPr>
          <w:rFonts w:hint="eastAsia" w:ascii="宋体" w:hAnsi="宋体" w:cs="宋体"/>
          <w:b/>
          <w:bCs/>
          <w:color w:val="auto"/>
          <w:szCs w:val="21"/>
          <w:highlight w:val="none"/>
          <w:lang w:eastAsia="zh" w:bidi="ar"/>
        </w:rPr>
        <w:t>1</w:t>
      </w:r>
      <w:r>
        <w:rPr>
          <w:rFonts w:hint="eastAsia" w:ascii="宋体" w:hAnsi="宋体" w:cs="宋体"/>
          <w:b/>
          <w:bCs/>
          <w:color w:val="auto"/>
          <w:szCs w:val="21"/>
          <w:highlight w:val="none"/>
          <w:lang w:bidi="ar"/>
        </w:rPr>
        <w:t>、室内要求</w:t>
      </w:r>
      <w:bookmarkEnd w:id="1070"/>
    </w:p>
    <w:p w14:paraId="5AD6BE96">
      <w:pPr>
        <w:pStyle w:val="23"/>
        <w:spacing w:before="0" w:beforeAutospacing="0" w:after="160" w:afterAutospacing="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（1）项目施工阶段需确保不影响室内参数（温湿度、洁净度）要求。（温湿度：洁净区温度23±2℃，相对湿度45±10%，黄光区温度23±1℃，相对湿度45±5%，EBL温度23±0.1℃，相对湿度45±5%）。</w:t>
      </w:r>
    </w:p>
    <w:p w14:paraId="76478EF7">
      <w:pPr>
        <w:pStyle w:val="23"/>
        <w:spacing w:before="0" w:beforeAutospacing="0" w:after="160" w:afterAutospacing="0" w:line="360" w:lineRule="auto"/>
        <w:ind w:firstLine="420" w:firstLineChars="20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（2）施工人员需经过业主安全和无尘室管理规范培训并考试合格后方能进入车间作业。</w:t>
      </w:r>
    </w:p>
    <w:p w14:paraId="305A277F">
      <w:pPr>
        <w:pStyle w:val="23"/>
        <w:spacing w:before="0" w:beforeAutospacing="0" w:after="160" w:afterAutospacing="0" w:line="360" w:lineRule="auto"/>
        <w:ind w:firstLine="420" w:firstLineChars="20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eastAsia="zh" w:bidi="ar"/>
        </w:rPr>
        <w:t>（3）无尘车间进行动火作业需业主方开具动火审批单后方可施工。</w:t>
      </w:r>
    </w:p>
    <w:p w14:paraId="108778C5">
      <w:pPr>
        <w:pStyle w:val="23"/>
        <w:spacing w:before="0" w:beforeAutospacing="0" w:after="160" w:afterAutospacing="0" w:line="360" w:lineRule="auto"/>
        <w:ind w:firstLine="420" w:firstLineChars="20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（4）施工人员需遵守无尘室管理规范，施工区域需放置隔离网、警示牌。</w:t>
      </w:r>
    </w:p>
    <w:p w14:paraId="7F68E56C">
      <w:pPr>
        <w:pStyle w:val="23"/>
        <w:spacing w:before="0" w:beforeAutospacing="0" w:after="160" w:afterAutospacing="0" w:line="360" w:lineRule="auto"/>
        <w:ind w:firstLine="420" w:firstLineChars="20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（5）施工单位对施工人员的安全负责，对于诸如登高、焊接等危险作业人员需单独购置保险。</w:t>
      </w:r>
    </w:p>
    <w:p w14:paraId="16582B42">
      <w:pPr>
        <w:spacing w:line="360" w:lineRule="auto"/>
        <w:ind w:right="-105" w:rightChars="-50" w:firstLine="495" w:firstLineChars="235"/>
        <w:outlineLvl w:val="2"/>
        <w:rPr>
          <w:rFonts w:hint="eastAsia" w:ascii="宋体" w:hAnsi="宋体" w:eastAsia="宋体" w:cs="宋体"/>
          <w:b/>
          <w:bCs/>
          <w:color w:val="auto"/>
          <w:szCs w:val="21"/>
          <w:highlight w:val="none"/>
        </w:rPr>
      </w:pPr>
      <w:bookmarkStart w:id="1071" w:name="_Toc7361"/>
      <w:r>
        <w:rPr>
          <w:rFonts w:hint="eastAsia" w:ascii="宋体" w:hAnsi="宋体" w:eastAsia="宋体" w:cs="宋体"/>
          <w:b/>
          <w:bCs/>
          <w:color w:val="auto"/>
          <w:szCs w:val="21"/>
          <w:highlight w:val="none"/>
          <w:lang w:eastAsia="zh" w:bidi="ar"/>
        </w:rPr>
        <w:t>2</w:t>
      </w:r>
      <w:r>
        <w:rPr>
          <w:rFonts w:hint="eastAsia" w:ascii="宋体" w:hAnsi="宋体" w:eastAsia="宋体" w:cs="宋体"/>
          <w:b/>
          <w:bCs/>
          <w:color w:val="auto"/>
          <w:szCs w:val="21"/>
          <w:highlight w:val="none"/>
          <w:lang w:bidi="ar"/>
        </w:rPr>
        <w:t>、主要技术参数</w:t>
      </w:r>
      <w:bookmarkEnd w:id="1071"/>
    </w:p>
    <w:p w14:paraId="3A35BA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（1）洁净区温度23±2℃，相对湿度45±10%，黄光区温度23±1℃，相对湿度45±5%，EBL温度23±0.1℃，相对湿度45±5%，。</w:t>
      </w:r>
    </w:p>
    <w:p w14:paraId="119FEA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（2）新风量标准：洁净区人员卫生新风量不小于40m³/h*人，非洁净区人员卫生新风量不小于30m³/h*人；为了补偿生产区排风及维持正压所需新风量（两者取大值）。</w:t>
      </w:r>
    </w:p>
    <w:p w14:paraId="6B3B64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（3）最小静压差：≥15Pa；洁净等级：万级以上。</w:t>
      </w:r>
    </w:p>
    <w:p w14:paraId="0BB89A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（4）噪声：单向流洁净室的噪音不大于60db，非单向流洁净室的噪音不大于60db，其余办公室及实验室噪音不大于55db；工作照度：300Lx。</w:t>
      </w:r>
    </w:p>
    <w:p w14:paraId="3B0D9EC8">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eastAsia="zh" w:bidi="ar"/>
        </w:rPr>
        <w:t>根据业主方提供的UM表，满足工艺设备及业主方使用需求</w:t>
      </w:r>
      <w:r>
        <w:rPr>
          <w:rFonts w:hint="eastAsia" w:ascii="宋体" w:hAnsi="宋体" w:eastAsia="宋体" w:cs="宋体"/>
          <w:color w:val="auto"/>
          <w:szCs w:val="21"/>
          <w:highlight w:val="none"/>
          <w:lang w:bidi="ar"/>
        </w:rPr>
        <w:t>。</w:t>
      </w:r>
    </w:p>
    <w:p w14:paraId="5DE5C2C5">
      <w:pPr>
        <w:spacing w:line="360" w:lineRule="auto"/>
        <w:ind w:firstLine="495" w:firstLineChars="235"/>
        <w:outlineLvl w:val="2"/>
        <w:rPr>
          <w:rFonts w:hint="eastAsia" w:ascii="宋体" w:hAnsi="宋体" w:cs="宋体"/>
          <w:b/>
          <w:bCs/>
          <w:color w:val="auto"/>
          <w:szCs w:val="21"/>
          <w:highlight w:val="none"/>
        </w:rPr>
      </w:pPr>
      <w:bookmarkStart w:id="1072" w:name="_Toc6057"/>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、采购及安装范围、规定</w:t>
      </w:r>
      <w:bookmarkEnd w:id="1072"/>
    </w:p>
    <w:p w14:paraId="6CD4A94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本</w:t>
      </w:r>
      <w:r>
        <w:rPr>
          <w:rFonts w:hint="eastAsia" w:ascii="宋体" w:hAnsi="宋体" w:cs="宋体"/>
          <w:color w:val="auto"/>
          <w:szCs w:val="21"/>
          <w:highlight w:val="none"/>
          <w:lang w:eastAsia="zh" w:bidi="ar"/>
          <w:woUserID w:val="2"/>
        </w:rPr>
        <w:t>项目</w:t>
      </w:r>
      <w:r>
        <w:rPr>
          <w:rFonts w:hint="eastAsia" w:ascii="宋体" w:hAnsi="宋体" w:cs="宋体"/>
          <w:color w:val="auto"/>
          <w:szCs w:val="21"/>
          <w:highlight w:val="none"/>
          <w:lang w:bidi="ar"/>
        </w:rPr>
        <w:t>包含的系统如下，包含气体侦测器</w:t>
      </w:r>
      <w:r>
        <w:rPr>
          <w:rFonts w:hint="eastAsia" w:ascii="宋体" w:hAnsi="宋体" w:cs="宋体"/>
          <w:color w:val="auto"/>
          <w:szCs w:val="21"/>
          <w:highlight w:val="none"/>
          <w:lang w:eastAsia="zh" w:bidi="ar"/>
          <w:woUserID w:val="4"/>
        </w:rPr>
        <w:t>及</w:t>
      </w:r>
      <w:r>
        <w:rPr>
          <w:rFonts w:hint="eastAsia" w:ascii="宋体" w:hAnsi="宋体" w:cs="宋体"/>
          <w:color w:val="auto"/>
          <w:szCs w:val="21"/>
          <w:highlight w:val="none"/>
          <w:lang w:bidi="ar"/>
        </w:rPr>
        <w:t>二次配，吊顶/高架地板切割</w:t>
      </w:r>
      <w:r>
        <w:rPr>
          <w:rFonts w:hint="eastAsia" w:ascii="宋体" w:hAnsi="宋体" w:cs="宋体"/>
          <w:color w:val="auto"/>
          <w:szCs w:val="21"/>
          <w:highlight w:val="none"/>
          <w:lang w:eastAsia="zh" w:bidi="ar"/>
          <w:woUserID w:val="4"/>
        </w:rPr>
        <w:t>及封堵</w:t>
      </w:r>
      <w:r>
        <w:rPr>
          <w:rFonts w:hint="eastAsia" w:ascii="宋体" w:hAnsi="宋体" w:cs="宋体"/>
          <w:color w:val="auto"/>
          <w:szCs w:val="21"/>
          <w:highlight w:val="none"/>
          <w:lang w:bidi="ar"/>
        </w:rPr>
        <w:t>施工：</w:t>
      </w:r>
    </w:p>
    <w:p w14:paraId="1AD68A9C">
      <w:pPr>
        <w:numPr>
          <w:ilvl w:val="0"/>
          <w:numId w:val="6"/>
        </w:num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工艺电力系统二次配；</w:t>
      </w:r>
    </w:p>
    <w:p w14:paraId="25C5FE14">
      <w:pPr>
        <w:numPr>
          <w:ilvl w:val="0"/>
          <w:numId w:val="6"/>
        </w:num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工艺超纯水二次配</w:t>
      </w:r>
    </w:p>
    <w:p w14:paraId="52F8F633">
      <w:pPr>
        <w:numPr>
          <w:ilvl w:val="0"/>
          <w:numId w:val="6"/>
        </w:num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工艺排气系统二次配</w:t>
      </w:r>
    </w:p>
    <w:p w14:paraId="034DE91C">
      <w:pPr>
        <w:numPr>
          <w:ilvl w:val="0"/>
          <w:numId w:val="6"/>
        </w:num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工艺排水与排液二次配</w:t>
      </w:r>
    </w:p>
    <w:p w14:paraId="5784683C">
      <w:pPr>
        <w:numPr>
          <w:ilvl w:val="0"/>
          <w:numId w:val="6"/>
        </w:num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工艺气体二次配</w:t>
      </w:r>
    </w:p>
    <w:p w14:paraId="20C11C43">
      <w:pPr>
        <w:numPr>
          <w:ilvl w:val="0"/>
          <w:numId w:val="6"/>
        </w:numPr>
        <w:spacing w:line="360" w:lineRule="auto"/>
        <w:ind w:firstLine="495" w:firstLineChars="236"/>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lang w:bidi="ar"/>
        </w:rPr>
        <w:t>工艺冷却水系统二次配</w:t>
      </w:r>
    </w:p>
    <w:p w14:paraId="45E9F47A">
      <w:pPr>
        <w:numPr>
          <w:ilvl w:val="0"/>
          <w:numId w:val="6"/>
        </w:numPr>
        <w:spacing w:line="360" w:lineRule="auto"/>
        <w:ind w:firstLine="495" w:firstLineChars="236"/>
        <w:rPr>
          <w:rFonts w:hint="eastAsia" w:ascii="宋体" w:hAnsi="宋体" w:cs="宋体"/>
          <w:strike w:val="0"/>
          <w:dstrike w:val="0"/>
          <w:color w:val="auto"/>
          <w:szCs w:val="21"/>
          <w:highlight w:val="none"/>
        </w:rPr>
      </w:pPr>
      <w:r>
        <w:rPr>
          <w:rFonts w:hint="eastAsia" w:ascii="宋体" w:hAnsi="宋体" w:eastAsia="宋体" w:cs="宋体"/>
          <w:strike w:val="0"/>
          <w:dstrike w:val="0"/>
          <w:color w:val="auto"/>
          <w:szCs w:val="21"/>
          <w:highlight w:val="none"/>
          <w:lang w:eastAsia="zh" w:bidi="ar"/>
        </w:rPr>
        <w:t>尾气处理</w:t>
      </w:r>
      <w:r>
        <w:rPr>
          <w:rFonts w:hint="eastAsia" w:ascii="宋体" w:hAnsi="宋体" w:cs="宋体"/>
          <w:strike w:val="0"/>
          <w:dstrike w:val="0"/>
          <w:color w:val="auto"/>
          <w:szCs w:val="21"/>
          <w:highlight w:val="none"/>
          <w:lang w:val="en-US" w:eastAsia="zh-CN" w:bidi="ar"/>
        </w:rPr>
        <w:t>与</w:t>
      </w:r>
      <w:r>
        <w:rPr>
          <w:rFonts w:hint="eastAsia" w:ascii="宋体" w:hAnsi="宋体" w:eastAsia="宋体" w:cs="宋体"/>
          <w:strike w:val="0"/>
          <w:dstrike w:val="0"/>
          <w:color w:val="auto"/>
          <w:szCs w:val="21"/>
          <w:highlight w:val="none"/>
          <w:lang w:eastAsia="zh" w:bidi="ar"/>
        </w:rPr>
        <w:t>真空管路、石墨盘</w:t>
      </w:r>
      <w:r>
        <w:rPr>
          <w:rFonts w:hint="eastAsia" w:ascii="宋体" w:hAnsi="宋体" w:eastAsia="宋体" w:cs="宋体"/>
          <w:strike w:val="0"/>
          <w:dstrike w:val="0"/>
          <w:color w:val="auto"/>
          <w:szCs w:val="21"/>
          <w:highlight w:val="none"/>
          <w:lang w:bidi="ar"/>
        </w:rPr>
        <w:t>清洗装置</w:t>
      </w:r>
      <w:r>
        <w:rPr>
          <w:rFonts w:hint="eastAsia" w:ascii="宋体" w:hAnsi="宋体" w:cs="宋体"/>
          <w:strike w:val="0"/>
          <w:dstrike w:val="0"/>
          <w:color w:val="auto"/>
          <w:szCs w:val="21"/>
          <w:highlight w:val="none"/>
          <w:lang w:eastAsia="zh" w:bidi="ar"/>
          <w:woUserID w:val="4"/>
        </w:rPr>
        <w:t>及二次配</w:t>
      </w:r>
    </w:p>
    <w:p w14:paraId="5C48B0EF">
      <w:pPr>
        <w:numPr>
          <w:ilvl w:val="0"/>
          <w:numId w:val="6"/>
        </w:numPr>
        <w:spacing w:line="360" w:lineRule="auto"/>
        <w:ind w:firstLine="495" w:firstLineChars="236"/>
        <w:rPr>
          <w:rFonts w:hint="eastAsia" w:ascii="宋体" w:hAnsi="宋体" w:cs="宋体"/>
          <w:strike w:val="0"/>
          <w:dstrike w:val="0"/>
          <w:color w:val="auto"/>
          <w:szCs w:val="21"/>
          <w:highlight w:val="none"/>
          <w:lang w:bidi="ar"/>
        </w:rPr>
      </w:pPr>
      <w:r>
        <w:rPr>
          <w:rFonts w:hint="eastAsia" w:ascii="宋体" w:hAnsi="宋体" w:cs="宋体"/>
          <w:strike w:val="0"/>
          <w:dstrike w:val="0"/>
          <w:color w:val="auto"/>
          <w:szCs w:val="21"/>
          <w:highlight w:val="none"/>
          <w:lang w:bidi="ar"/>
        </w:rPr>
        <w:t>办公设施连接、零星改造、智能化展示等</w:t>
      </w:r>
    </w:p>
    <w:p w14:paraId="52B31AB7">
      <w:pPr>
        <w:numPr>
          <w:ilvl w:val="0"/>
          <w:numId w:val="6"/>
        </w:numPr>
        <w:spacing w:line="360" w:lineRule="auto"/>
        <w:ind w:firstLine="495" w:firstLineChars="236"/>
        <w:rPr>
          <w:rFonts w:hint="eastAsia" w:ascii="宋体" w:hAnsi="宋体" w:cs="宋体"/>
          <w:color w:val="auto"/>
          <w:szCs w:val="21"/>
          <w:highlight w:val="none"/>
          <w:lang w:bidi="ar"/>
        </w:rPr>
      </w:pPr>
      <w:r>
        <w:rPr>
          <w:rFonts w:hint="eastAsia" w:ascii="宋体" w:hAnsi="宋体" w:cs="宋体"/>
          <w:color w:val="auto"/>
          <w:szCs w:val="21"/>
          <w:highlight w:val="none"/>
          <w:lang w:bidi="ar"/>
        </w:rPr>
        <w:t>在本技术文件中未提及或在图中未指示，但作为整个二次配系统所必需的工作内容，都包含在该次二次配系统</w:t>
      </w:r>
      <w:r>
        <w:rPr>
          <w:rFonts w:hint="eastAsia" w:ascii="宋体" w:hAnsi="宋体" w:cs="宋体"/>
          <w:color w:val="auto"/>
          <w:szCs w:val="21"/>
          <w:highlight w:val="none"/>
          <w:lang w:eastAsia="zh" w:bidi="ar"/>
          <w:woUserID w:val="3"/>
        </w:rPr>
        <w:t>采购</w:t>
      </w:r>
      <w:r>
        <w:rPr>
          <w:rFonts w:hint="eastAsia" w:ascii="宋体" w:hAnsi="宋体" w:cs="宋体"/>
          <w:color w:val="auto"/>
          <w:szCs w:val="21"/>
          <w:highlight w:val="none"/>
          <w:lang w:bidi="ar"/>
        </w:rPr>
        <w:t>内容中，且不做增补。</w:t>
      </w:r>
    </w:p>
    <w:p w14:paraId="7610EDCC">
      <w:pPr>
        <w:spacing w:line="360" w:lineRule="auto"/>
        <w:ind w:firstLine="498" w:firstLineChars="236"/>
        <w:outlineLvl w:val="3"/>
        <w:rPr>
          <w:rFonts w:hint="eastAsia" w:ascii="宋体" w:hAnsi="宋体" w:cs="宋体"/>
          <w:b/>
          <w:bCs/>
          <w:color w:val="auto"/>
          <w:szCs w:val="21"/>
          <w:highlight w:val="none"/>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.1一般规定</w:t>
      </w:r>
    </w:p>
    <w:p w14:paraId="2D250950">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.1.1说明</w:t>
      </w:r>
    </w:p>
    <w:p w14:paraId="3E10211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本规定需确保二次配</w:t>
      </w:r>
      <w:r>
        <w:rPr>
          <w:rFonts w:hint="eastAsia" w:ascii="宋体" w:hAnsi="宋体" w:cs="宋体"/>
          <w:strike w:val="0"/>
          <w:dstrike w:val="0"/>
          <w:color w:val="auto"/>
          <w:szCs w:val="21"/>
          <w:highlight w:val="none"/>
          <w:lang w:eastAsia="zh" w:bidi="ar"/>
          <w:woUserID w:val="5"/>
        </w:rPr>
        <w:t>服务</w:t>
      </w:r>
      <w:r>
        <w:rPr>
          <w:rFonts w:hint="eastAsia" w:ascii="宋体" w:hAnsi="宋体" w:cs="宋体"/>
          <w:color w:val="auto"/>
          <w:szCs w:val="21"/>
          <w:highlight w:val="none"/>
          <w:lang w:bidi="ar"/>
        </w:rPr>
        <w:t>质量、安全、进度均能满足作业及业主方使用要求。</w:t>
      </w:r>
    </w:p>
    <w:p w14:paraId="7BB417AC">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.1.2法规及标准</w:t>
      </w:r>
    </w:p>
    <w:p w14:paraId="7A39430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包括但不限于以下规范：</w:t>
      </w:r>
    </w:p>
    <w:p w14:paraId="7408995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（1）《建筑设计防火规范》GB 50016-2014；</w:t>
      </w:r>
    </w:p>
    <w:p w14:paraId="2BA05B4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（2）《洁净厂房设计规范》GB 50073-2013；</w:t>
      </w:r>
    </w:p>
    <w:p w14:paraId="58A2A5B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（3）《电子工业洁净厂房设计规范》GB 50472-2008；</w:t>
      </w:r>
    </w:p>
    <w:p w14:paraId="2CF1884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（4）《半导体行业污染物排放标准》（DB31/374-2006）；</w:t>
      </w:r>
    </w:p>
    <w:p w14:paraId="57834CB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（5）《建筑内部装修设计防火规范》GB 50222-95（2001年修订版）；</w:t>
      </w:r>
    </w:p>
    <w:p w14:paraId="3F4801D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（6）《地下工程防水技术规范》GB 50108-2001；</w:t>
      </w:r>
    </w:p>
    <w:p w14:paraId="7AFCACD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（7）《建筑幕墙物理性能分级》GB/T 15225-94；</w:t>
      </w:r>
    </w:p>
    <w:p w14:paraId="0EF003D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（8）《采暖通风与空气调节设计规范》GB 50019-2003；</w:t>
      </w:r>
    </w:p>
    <w:p w14:paraId="0788571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（9）《工业设备及管道绝热工程设计规范》GB 50264-2013；</w:t>
      </w:r>
    </w:p>
    <w:p w14:paraId="3DAC277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（10）《通风与空调工程施工质量验收规范》GB 50243-2016；</w:t>
      </w:r>
    </w:p>
    <w:p w14:paraId="346F9EF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（11）《建筑给水排水及采暖工程施工质量验收规范》GB 50242-2002；</w:t>
      </w:r>
    </w:p>
    <w:p w14:paraId="5209153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（12）《组合式空调机组》GB/T 14294-2008；</w:t>
      </w:r>
    </w:p>
    <w:p w14:paraId="6726382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（13）《大气污染物综合排放标准》GB 16297-1996；</w:t>
      </w:r>
    </w:p>
    <w:p w14:paraId="5D5CB36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（14）《工业企业厂界噪声标准》GB 12348-2008；</w:t>
      </w:r>
    </w:p>
    <w:p w14:paraId="58DD3F3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（15）《工业企业设计卫生标准》GBZ1-2010；</w:t>
      </w:r>
    </w:p>
    <w:p w14:paraId="6BEDA37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（16）《自动喷水灭火系统设计规范》GB 50084-2001（2005年版）；</w:t>
      </w:r>
    </w:p>
    <w:p w14:paraId="11A2567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（17）《供配电系统设计规范》GB 50052-2009；</w:t>
      </w:r>
    </w:p>
    <w:p w14:paraId="634A5E6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（18）《建筑给水排水设计规范》GB 50015-2003（2009年版）；</w:t>
      </w:r>
    </w:p>
    <w:p w14:paraId="39DC7A8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（19）《供配电系统设计规范》GB 50052-2009；</w:t>
      </w:r>
    </w:p>
    <w:p w14:paraId="7E40C73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（20）《低压配电设计规范》GB 50054-2011；</w:t>
      </w:r>
    </w:p>
    <w:p w14:paraId="719BA5F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（21）《电力装置的电气测量仪表装置设计规范》GBJ 63-90；</w:t>
      </w:r>
    </w:p>
    <w:p w14:paraId="484E31D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（22）《工业与民用电力装置接地设计规范》GBJ 65-90；</w:t>
      </w:r>
    </w:p>
    <w:p w14:paraId="18F874B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（23）《建筑照明设计标准》GB 50034-2013；</w:t>
      </w:r>
    </w:p>
    <w:p w14:paraId="0F1CCDC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（24）《通用用电设备配电设计规范》GB 50055-2011；</w:t>
      </w:r>
    </w:p>
    <w:p w14:paraId="2C9D491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（25）《爆炸和火灾危险环境电力装置设计规范》GB 50058-2014；</w:t>
      </w:r>
    </w:p>
    <w:p w14:paraId="3CC6EC6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（26）《剩余电流动作保护装置的安装和运行》GB 13955-2005；</w:t>
      </w:r>
    </w:p>
    <w:p w14:paraId="140BA01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（27）《电力工程电缆设计规范》GB 50217-2007；</w:t>
      </w:r>
    </w:p>
    <w:p w14:paraId="4BD764E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（28）《火灾自动报警系统设计规范》GB 50116-2013；</w:t>
      </w:r>
    </w:p>
    <w:p w14:paraId="7C6721F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（29）《民用闭路监视电视系统工程技术规范》GB 50198-2011；</w:t>
      </w:r>
    </w:p>
    <w:p w14:paraId="304B861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（30）《工业电视系统设计规范》GBJ 115-87；</w:t>
      </w:r>
    </w:p>
    <w:p w14:paraId="387F767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（31）《民用建筑电气设计规范》JGJ 16-2008；</w:t>
      </w:r>
    </w:p>
    <w:p w14:paraId="5004FDB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（32）《工业企业通信接地设计规范》GBJ 79-85；</w:t>
      </w:r>
    </w:p>
    <w:p w14:paraId="564D75E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（33）《用能单位能源计量器具配备和管理通则》GB 17167-2006；</w:t>
      </w:r>
    </w:p>
    <w:p w14:paraId="35F6F5A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（34）《工业管道的基本识别色、识别符号和安全标识》GB 7231-2003。</w:t>
      </w:r>
    </w:p>
    <w:p w14:paraId="21460234">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.1.3其它国家法规、地方性条例、国家标准和相关地方标准，如有更新，以目前最新版为准。</w:t>
      </w:r>
    </w:p>
    <w:p w14:paraId="6D6B0BFE">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.1.4本系统</w:t>
      </w:r>
      <w:r>
        <w:rPr>
          <w:rFonts w:hint="eastAsia" w:ascii="宋体" w:hAnsi="宋体" w:cs="宋体"/>
          <w:color w:val="auto"/>
          <w:szCs w:val="21"/>
          <w:highlight w:val="none"/>
          <w:lang w:eastAsia="zh-CN" w:bidi="ar"/>
        </w:rPr>
        <w:t>采购文件</w:t>
      </w:r>
      <w:r>
        <w:rPr>
          <w:rFonts w:hint="eastAsia" w:ascii="宋体" w:hAnsi="宋体" w:cs="宋体"/>
          <w:color w:val="auto"/>
          <w:szCs w:val="21"/>
          <w:highlight w:val="none"/>
          <w:lang w:bidi="ar"/>
        </w:rPr>
        <w:t>技术规格书部分列明的执行规范。</w:t>
      </w:r>
    </w:p>
    <w:p w14:paraId="0D29347C">
      <w:pPr>
        <w:spacing w:line="360" w:lineRule="auto"/>
        <w:ind w:firstLine="498" w:firstLineChars="236"/>
        <w:outlineLvl w:val="3"/>
        <w:rPr>
          <w:rFonts w:hint="eastAsia" w:ascii="宋体" w:hAnsi="宋体" w:cs="宋体"/>
          <w:b/>
          <w:bCs/>
          <w:color w:val="auto"/>
          <w:szCs w:val="21"/>
          <w:highlight w:val="none"/>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.2材料</w:t>
      </w:r>
    </w:p>
    <w:p w14:paraId="37C12D62">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.2.1所有材料应为新品，不得有任何瑕疵，并须符合规定要求；</w:t>
      </w:r>
    </w:p>
    <w:p w14:paraId="098E7DF7">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.2.2所选用材料应连同其它详细数据在采购前送审，经业主认可后方能进行采买；</w:t>
      </w:r>
    </w:p>
    <w:p w14:paraId="7FF6144F">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.2.3所有材料及设备选用时应考虑所使用的条件及可能的操作变化范围，且均不致产生过度腐蚀、变形、减少使用寿命或疲劳等；</w:t>
      </w:r>
    </w:p>
    <w:p w14:paraId="043D0018">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.2.4所有材料须符合规范标准；</w:t>
      </w:r>
    </w:p>
    <w:p w14:paraId="2B3A1320">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.2.5所有材料须有制造厂印章或制造厂合格书。</w:t>
      </w:r>
    </w:p>
    <w:p w14:paraId="49D9E178">
      <w:pPr>
        <w:spacing w:line="360" w:lineRule="auto"/>
        <w:ind w:firstLine="498" w:firstLineChars="236"/>
        <w:outlineLvl w:val="3"/>
        <w:rPr>
          <w:rFonts w:hint="eastAsia" w:ascii="宋体" w:hAnsi="宋体" w:cs="宋体"/>
          <w:b/>
          <w:bCs/>
          <w:color w:val="auto"/>
          <w:szCs w:val="21"/>
          <w:highlight w:val="none"/>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.3图面及资料审查</w:t>
      </w:r>
    </w:p>
    <w:p w14:paraId="00843C1F">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.3.1承包商</w:t>
      </w:r>
      <w:r>
        <w:rPr>
          <w:rFonts w:hint="eastAsia" w:ascii="宋体" w:hAnsi="宋体" w:cs="宋体"/>
          <w:color w:val="auto"/>
          <w:szCs w:val="21"/>
          <w:highlight w:val="none"/>
          <w:lang w:eastAsia="zh-CN" w:bidi="ar"/>
        </w:rPr>
        <w:t>响应文件</w:t>
      </w:r>
      <w:r>
        <w:rPr>
          <w:rFonts w:hint="eastAsia" w:ascii="宋体" w:hAnsi="宋体" w:cs="宋体"/>
          <w:color w:val="auto"/>
          <w:szCs w:val="21"/>
          <w:highlight w:val="none"/>
          <w:lang w:bidi="ar"/>
        </w:rPr>
        <w:t>中应提供全部详细设计资料及施工图面（须按正规的绘图方式绘制）。</w:t>
      </w:r>
    </w:p>
    <w:p w14:paraId="5AC7A7DC">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.3.2系统完成时，经验收合格后一个月内，承包商应提供业主方四份完整竣工图。</w:t>
      </w:r>
    </w:p>
    <w:p w14:paraId="2019B983">
      <w:pPr>
        <w:spacing w:line="360" w:lineRule="auto"/>
        <w:ind w:firstLine="498" w:firstLineChars="236"/>
        <w:outlineLvl w:val="3"/>
        <w:rPr>
          <w:rFonts w:hint="eastAsia" w:ascii="宋体" w:hAnsi="宋体" w:cs="宋体"/>
          <w:b/>
          <w:bCs/>
          <w:color w:val="auto"/>
          <w:szCs w:val="21"/>
          <w:highlight w:val="none"/>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.4设备安装工期要求</w:t>
      </w:r>
    </w:p>
    <w:p w14:paraId="7B1C57C6">
      <w:pPr>
        <w:widowControl/>
        <w:spacing w:line="360" w:lineRule="auto"/>
        <w:ind w:firstLine="437"/>
        <w:jc w:val="left"/>
        <w:rPr>
          <w:rFonts w:hint="eastAsia" w:ascii="宋体" w:hAnsi="宋体" w:cs="宋体"/>
          <w:color w:val="auto"/>
          <w:szCs w:val="21"/>
          <w:highlight w:val="none"/>
        </w:rPr>
      </w:pPr>
      <w:r>
        <w:rPr>
          <w:rFonts w:hint="eastAsia" w:ascii="宋体" w:hAnsi="宋体" w:cs="宋体"/>
          <w:color w:val="auto"/>
          <w:szCs w:val="21"/>
          <w:highlight w:val="none"/>
        </w:rPr>
        <w:t>计划工期：</w:t>
      </w:r>
      <w:r>
        <w:rPr>
          <w:rFonts w:hint="eastAsia" w:ascii="宋体" w:hAnsi="宋体" w:cs="宋体"/>
          <w:color w:val="auto"/>
          <w:szCs w:val="21"/>
          <w:highlight w:val="none"/>
          <w:lang w:eastAsia="zh"/>
          <w:woUserID w:val="1"/>
        </w:rPr>
        <w:t>45</w:t>
      </w:r>
      <w:r>
        <w:rPr>
          <w:rFonts w:hint="eastAsia" w:ascii="宋体" w:hAnsi="宋体" w:cs="宋体"/>
          <w:color w:val="auto"/>
          <w:szCs w:val="21"/>
          <w:highlight w:val="none"/>
        </w:rPr>
        <w:t>日历天</w:t>
      </w:r>
      <w:r>
        <w:rPr>
          <w:rFonts w:hint="eastAsia" w:ascii="宋体" w:hAnsi="宋体" w:cs="宋体"/>
          <w:color w:val="auto"/>
          <w:szCs w:val="21"/>
          <w:highlight w:val="none"/>
          <w:lang w:eastAsia="zh"/>
        </w:rPr>
        <w:t>（含设计周期）</w:t>
      </w:r>
      <w:r>
        <w:rPr>
          <w:rFonts w:hint="eastAsia" w:ascii="宋体" w:hAnsi="宋体" w:cs="宋体"/>
          <w:color w:val="auto"/>
          <w:szCs w:val="21"/>
          <w:highlight w:val="none"/>
          <w:lang w:bidi="ar"/>
        </w:rPr>
        <w:t>。</w:t>
      </w:r>
    </w:p>
    <w:p w14:paraId="3610AEB3">
      <w:pPr>
        <w:spacing w:line="360" w:lineRule="auto"/>
        <w:ind w:firstLine="422" w:firstLineChars="200"/>
        <w:outlineLvl w:val="3"/>
        <w:rPr>
          <w:rFonts w:hint="eastAsia" w:ascii="宋体" w:hAnsi="宋体" w:cs="宋体"/>
          <w:b/>
          <w:bCs/>
          <w:color w:val="auto"/>
          <w:szCs w:val="21"/>
          <w:highlight w:val="none"/>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.5.工艺电力系统二次配</w:t>
      </w:r>
    </w:p>
    <w:p w14:paraId="659B83ED">
      <w:pPr>
        <w:spacing w:line="360" w:lineRule="auto"/>
        <w:ind w:firstLine="495" w:firstLineChars="236"/>
        <w:rPr>
          <w:rFonts w:hint="eastAsia" w:ascii="宋体" w:hAnsi="宋体" w:eastAsia="宋体" w:cs="宋体"/>
          <w:color w:val="auto"/>
          <w:szCs w:val="21"/>
          <w:highlight w:val="none"/>
          <w:lang w:eastAsia="zh"/>
          <w:woUserID w:val="2"/>
        </w:rPr>
      </w:pPr>
      <w:r>
        <w:rPr>
          <w:rFonts w:hint="eastAsia" w:ascii="宋体" w:hAnsi="宋体" w:cs="宋体"/>
          <w:color w:val="auto"/>
          <w:szCs w:val="21"/>
          <w:highlight w:val="none"/>
          <w:lang w:bidi="ar"/>
        </w:rPr>
        <w:t>设备配电所涉及电压等级分别为：（配电系统所提供电压分别为：市电3Φ380V、1Φ220V、U电3Φ</w:t>
      </w:r>
      <w:r>
        <w:rPr>
          <w:rFonts w:hint="eastAsia" w:ascii="宋体" w:hAnsi="宋体" w:cs="宋体"/>
          <w:color w:val="auto"/>
          <w:szCs w:val="21"/>
          <w:highlight w:val="none"/>
          <w:lang w:eastAsia="zh" w:bidi="ar"/>
          <w:woUserID w:val="5"/>
        </w:rPr>
        <w:t>380</w:t>
      </w:r>
      <w:r>
        <w:rPr>
          <w:rFonts w:hint="eastAsia" w:ascii="宋体" w:hAnsi="宋体" w:cs="宋体"/>
          <w:color w:val="auto"/>
          <w:szCs w:val="21"/>
          <w:highlight w:val="none"/>
          <w:lang w:bidi="ar"/>
        </w:rPr>
        <w:t>V</w:t>
      </w:r>
      <w:r>
        <w:rPr>
          <w:rFonts w:hint="eastAsia" w:ascii="宋体" w:hAnsi="宋体" w:cs="宋体"/>
          <w:color w:val="auto"/>
          <w:szCs w:val="21"/>
          <w:highlight w:val="none"/>
          <w:lang w:eastAsia="zh" w:bidi="ar"/>
          <w:woUserID w:val="5"/>
        </w:rPr>
        <w:t>、</w:t>
      </w:r>
      <w:r>
        <w:rPr>
          <w:rFonts w:hint="eastAsia" w:ascii="宋体" w:hAnsi="宋体" w:cs="宋体"/>
          <w:color w:val="auto"/>
          <w:szCs w:val="21"/>
          <w:highlight w:val="none"/>
          <w:lang w:bidi="ar"/>
          <w:woUserID w:val="5"/>
        </w:rPr>
        <w:t>1Φ220V</w:t>
      </w:r>
      <w:r>
        <w:rPr>
          <w:rFonts w:hint="eastAsia" w:ascii="宋体" w:hAnsi="宋体" w:cs="宋体"/>
          <w:color w:val="auto"/>
          <w:szCs w:val="21"/>
          <w:highlight w:val="none"/>
          <w:lang w:bidi="ar"/>
        </w:rPr>
        <w:t>，接线方式TN-S三相五线制，需根据洁净室内各设备使用情况增加二级配电箱）</w:t>
      </w:r>
      <w:r>
        <w:rPr>
          <w:rFonts w:hint="eastAsia" w:ascii="宋体" w:hAnsi="宋体" w:cs="宋体"/>
          <w:color w:val="auto"/>
          <w:szCs w:val="21"/>
          <w:highlight w:val="none"/>
          <w:lang w:eastAsia="zh" w:bidi="ar"/>
          <w:woUserID w:val="5"/>
        </w:rPr>
        <w:t>，工艺设备如需</w:t>
      </w:r>
      <w:r>
        <w:rPr>
          <w:rFonts w:hint="eastAsia" w:ascii="宋体" w:hAnsi="宋体" w:cs="宋体"/>
          <w:color w:val="auto"/>
          <w:szCs w:val="21"/>
          <w:highlight w:val="none"/>
          <w:lang w:bidi="ar"/>
          <w:woUserID w:val="5"/>
        </w:rPr>
        <w:t>3Φ</w:t>
      </w:r>
      <w:r>
        <w:rPr>
          <w:rFonts w:hint="eastAsia" w:ascii="宋体" w:hAnsi="宋体" w:cs="宋体"/>
          <w:color w:val="auto"/>
          <w:szCs w:val="21"/>
          <w:highlight w:val="none"/>
          <w:lang w:eastAsia="zh" w:bidi="ar"/>
          <w:woUserID w:val="5"/>
        </w:rPr>
        <w:t>208</w:t>
      </w:r>
      <w:r>
        <w:rPr>
          <w:rFonts w:hint="eastAsia" w:ascii="宋体" w:hAnsi="宋体" w:cs="宋体"/>
          <w:color w:val="auto"/>
          <w:szCs w:val="21"/>
          <w:highlight w:val="none"/>
          <w:lang w:bidi="ar"/>
          <w:woUserID w:val="5"/>
        </w:rPr>
        <w:t>V</w:t>
      </w:r>
      <w:r>
        <w:rPr>
          <w:rFonts w:hint="eastAsia" w:ascii="宋体" w:hAnsi="宋体" w:cs="宋体"/>
          <w:color w:val="auto"/>
          <w:szCs w:val="21"/>
          <w:highlight w:val="none"/>
          <w:lang w:eastAsia="zh" w:bidi="ar"/>
          <w:woUserID w:val="2"/>
        </w:rPr>
        <w:t>、</w:t>
      </w:r>
      <w:r>
        <w:rPr>
          <w:rFonts w:hint="eastAsia" w:ascii="宋体" w:hAnsi="宋体" w:cs="宋体"/>
          <w:color w:val="auto"/>
          <w:szCs w:val="21"/>
          <w:highlight w:val="none"/>
          <w:lang w:bidi="ar"/>
          <w:woUserID w:val="5"/>
        </w:rPr>
        <w:t>1Φ</w:t>
      </w:r>
      <w:r>
        <w:rPr>
          <w:rFonts w:hint="eastAsia" w:ascii="宋体" w:hAnsi="宋体" w:cs="宋体"/>
          <w:color w:val="auto"/>
          <w:szCs w:val="21"/>
          <w:highlight w:val="none"/>
          <w:lang w:eastAsia="zh" w:bidi="ar"/>
          <w:woUserID w:val="5"/>
        </w:rPr>
        <w:t>110</w:t>
      </w:r>
      <w:r>
        <w:rPr>
          <w:rFonts w:hint="eastAsia" w:ascii="宋体" w:hAnsi="宋体" w:cs="宋体"/>
          <w:color w:val="auto"/>
          <w:szCs w:val="21"/>
          <w:highlight w:val="none"/>
          <w:lang w:bidi="ar"/>
          <w:woUserID w:val="5"/>
        </w:rPr>
        <w:t>V</w:t>
      </w:r>
      <w:r>
        <w:rPr>
          <w:rFonts w:hint="eastAsia" w:ascii="宋体" w:hAnsi="宋体" w:cs="宋体"/>
          <w:color w:val="auto"/>
          <w:szCs w:val="21"/>
          <w:highlight w:val="none"/>
          <w:lang w:eastAsia="zh" w:bidi="ar"/>
          <w:woUserID w:val="2"/>
        </w:rPr>
        <w:t>及非标需求，</w:t>
      </w:r>
      <w:r>
        <w:rPr>
          <w:rFonts w:hint="eastAsia" w:ascii="宋体" w:hAnsi="宋体" w:cs="宋体"/>
          <w:color w:val="auto"/>
          <w:szCs w:val="21"/>
          <w:highlight w:val="none"/>
          <w:lang w:eastAsia="zh" w:bidi="ar"/>
          <w:woUserID w:val="5"/>
        </w:rPr>
        <w:t>需根据设备需求单独配置变压器</w:t>
      </w:r>
      <w:r>
        <w:rPr>
          <w:rFonts w:hint="eastAsia" w:ascii="宋体" w:hAnsi="宋体" w:cs="宋体"/>
          <w:color w:val="auto"/>
          <w:szCs w:val="21"/>
          <w:highlight w:val="none"/>
          <w:lang w:eastAsia="zh" w:bidi="ar"/>
          <w:woUserID w:val="2"/>
        </w:rPr>
        <w:t>，其变压器由中标人承担。</w:t>
      </w:r>
    </w:p>
    <w:p w14:paraId="3AD440F5">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.5.1界面点</w:t>
      </w:r>
    </w:p>
    <w:p w14:paraId="2D4DCD76">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.5.1.1范围：由一次工艺设备配电盘从天花板</w:t>
      </w:r>
      <w:r>
        <w:rPr>
          <w:rFonts w:hint="eastAsia" w:ascii="宋体" w:hAnsi="宋体" w:cs="宋体"/>
          <w:color w:val="auto"/>
          <w:szCs w:val="21"/>
          <w:highlight w:val="none"/>
          <w:lang w:eastAsia="zh" w:bidi="ar"/>
          <w:woUserID w:val="1"/>
        </w:rPr>
        <w:t>上</w:t>
      </w:r>
      <w:r>
        <w:rPr>
          <w:rFonts w:hint="eastAsia" w:ascii="宋体" w:hAnsi="宋体" w:cs="宋体"/>
          <w:color w:val="auto"/>
          <w:szCs w:val="21"/>
          <w:highlight w:val="none"/>
          <w:lang w:bidi="ar"/>
        </w:rPr>
        <w:t>接入设备机台，根据设备机台提供的数据（电压、电流、是否需要UPS、单相、三相），选型电缆及管线敷设方式。考虑实验室空间整体美观性，应尽量走在回风夹道内，若敷设在天花板内的桥架，应考虑气密性。</w:t>
      </w:r>
    </w:p>
    <w:p w14:paraId="3AC913D6">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.5.1.2接地：有特殊要求的设备需要按照设备要求独立接地。</w:t>
      </w:r>
    </w:p>
    <w:p w14:paraId="425C2E1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.5.1.3配线各端的连接端子和相应所需配电柜桥架、线槽、配管等相关所有附件；</w:t>
      </w:r>
    </w:p>
    <w:p w14:paraId="776890C9">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.5.</w:t>
      </w:r>
      <w:r>
        <w:rPr>
          <w:rFonts w:hint="eastAsia" w:ascii="宋体" w:hAnsi="宋体" w:cs="宋体"/>
          <w:color w:val="auto"/>
          <w:szCs w:val="21"/>
          <w:highlight w:val="none"/>
          <w:lang w:eastAsia="zh" w:bidi="ar"/>
        </w:rPr>
        <w:t>2</w:t>
      </w:r>
      <w:r>
        <w:rPr>
          <w:rFonts w:hint="eastAsia" w:ascii="宋体" w:hAnsi="宋体" w:cs="宋体"/>
          <w:color w:val="auto"/>
          <w:szCs w:val="21"/>
          <w:highlight w:val="none"/>
          <w:lang w:bidi="ar"/>
        </w:rPr>
        <w:t>材料要求</w:t>
      </w:r>
    </w:p>
    <w:p w14:paraId="7C9FD49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.2.1电缆</w:t>
      </w:r>
    </w:p>
    <w:p w14:paraId="62C6AE1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（1）电源和UPS电源回路选用阻燃低烟无卤铜芯交联聚乙烯绝缘电缆；敷设方式采用桥架/钢管敷设；</w:t>
      </w:r>
    </w:p>
    <w:p w14:paraId="388BA00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（2）所有的电力电缆绝缘体于正当使用状态下的耐温绝不低于90℃且工作时须能抗湿及抗热；</w:t>
      </w:r>
    </w:p>
    <w:p w14:paraId="5FDB07D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（3）所有的电缆在制造长度内通常安装成两端之间要全长连续，禁止有中间接头；</w:t>
      </w:r>
    </w:p>
    <w:p w14:paraId="3CC3973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（4）根据负荷容量选用电缆，根据GB50217-94《电力工程电缆设计规范》相关规定进行配置；</w:t>
      </w:r>
    </w:p>
    <w:p w14:paraId="7758F39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（5）重复接地：根据机台所要求的电阻值选用电缆（但最小不少于4mm</w:t>
      </w:r>
      <w:r>
        <w:rPr>
          <w:rFonts w:hint="eastAsia" w:ascii="宋体" w:hAnsi="宋体" w:cs="宋体"/>
          <w:color w:val="auto"/>
          <w:szCs w:val="21"/>
          <w:highlight w:val="none"/>
          <w:vertAlign w:val="superscript"/>
          <w:lang w:bidi="ar"/>
        </w:rPr>
        <w:t>2</w:t>
      </w:r>
      <w:r>
        <w:rPr>
          <w:rFonts w:hint="eastAsia" w:ascii="宋体" w:hAnsi="宋体" w:cs="宋体"/>
          <w:color w:val="auto"/>
          <w:szCs w:val="21"/>
          <w:highlight w:val="none"/>
          <w:lang w:bidi="ar"/>
        </w:rPr>
        <w:t>）；</w:t>
      </w:r>
    </w:p>
    <w:p w14:paraId="16B6F30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（6）电缆接线端必须压接线端子，接线端子须适合于所使用电缆尺寸及型式，电缆尾端须备有适当线号及标签。</w:t>
      </w:r>
    </w:p>
    <w:p w14:paraId="7A5C85B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（7）电缆接线端必须压接线鼻子，且线鼻子分别加装色套,色套标识为下：</w:t>
      </w:r>
    </w:p>
    <w:tbl>
      <w:tblPr>
        <w:tblStyle w:val="27"/>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17"/>
        <w:gridCol w:w="814"/>
        <w:gridCol w:w="814"/>
        <w:gridCol w:w="814"/>
        <w:gridCol w:w="814"/>
        <w:gridCol w:w="1630"/>
        <w:gridCol w:w="2861"/>
      </w:tblGrid>
      <w:tr w14:paraId="096A4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0D9E6146">
            <w:pPr>
              <w:keepNext w:val="0"/>
              <w:keepLines w:val="0"/>
              <w:suppressLineNumbers w:val="0"/>
              <w:spacing w:before="0" w:beforeAutospacing="0" w:after="0" w:afterAutospacing="0" w:line="360" w:lineRule="auto"/>
              <w:ind w:left="0" w:right="0" w:firstLine="495" w:firstLineChars="236"/>
              <w:rPr>
                <w:rFonts w:hint="eastAsia" w:ascii="宋体" w:hAnsi="宋体" w:cs="宋体"/>
                <w:b/>
                <w:bCs/>
                <w:color w:val="auto"/>
                <w:kern w:val="0"/>
                <w:szCs w:val="21"/>
                <w:highlight w:val="none"/>
              </w:rPr>
            </w:pPr>
            <w:r>
              <w:rPr>
                <w:rFonts w:hint="eastAsia" w:ascii="宋体" w:hAnsi="宋体" w:cs="宋体"/>
                <w:color w:val="auto"/>
                <w:szCs w:val="21"/>
                <w:highlight w:val="none"/>
                <w:lang w:bidi="ar"/>
              </w:rPr>
              <w:t xml:space="preserve"> </w:t>
            </w:r>
          </w:p>
          <w:p w14:paraId="70BB687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cs="宋体"/>
                <w:b/>
                <w:bCs/>
                <w:color w:val="auto"/>
                <w:kern w:val="0"/>
                <w:szCs w:val="21"/>
                <w:highlight w:val="none"/>
                <w:lang w:eastAsia="en-US"/>
              </w:rPr>
            </w:pPr>
            <w:r>
              <w:rPr>
                <w:rFonts w:hint="eastAsia" w:ascii="宋体" w:hAnsi="宋体" w:cs="宋体"/>
                <w:b/>
                <w:bCs/>
                <w:color w:val="auto"/>
                <w:kern w:val="0"/>
                <w:szCs w:val="21"/>
                <w:highlight w:val="none"/>
                <w:lang w:eastAsia="en-US" w:bidi="ar"/>
              </w:rPr>
              <w:t>色套标识</w:t>
            </w:r>
          </w:p>
        </w:tc>
      </w:tr>
      <w:tr w14:paraId="6A120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27" w:type="pct"/>
            <w:tcBorders>
              <w:top w:val="single" w:color="000000" w:sz="4" w:space="0"/>
              <w:left w:val="single" w:color="000000" w:sz="4" w:space="0"/>
              <w:bottom w:val="single" w:color="000000" w:sz="4" w:space="0"/>
              <w:right w:val="single" w:color="000000" w:sz="4" w:space="0"/>
            </w:tcBorders>
            <w:noWrap w:val="0"/>
            <w:vAlign w:val="center"/>
          </w:tcPr>
          <w:p w14:paraId="7CE5CB9F">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cs="宋体"/>
                <w:color w:val="auto"/>
                <w:kern w:val="0"/>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EC2C87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cs="宋体"/>
                <w:color w:val="auto"/>
                <w:kern w:val="0"/>
                <w:szCs w:val="21"/>
                <w:highlight w:val="none"/>
                <w:lang w:eastAsia="en-US"/>
              </w:rPr>
            </w:pPr>
            <w:r>
              <w:rPr>
                <w:rFonts w:hint="eastAsia" w:ascii="宋体" w:hAnsi="宋体" w:cs="宋体"/>
                <w:color w:val="auto"/>
                <w:szCs w:val="21"/>
                <w:highlight w:val="none"/>
                <w:lang w:eastAsia="en-US" w:bidi="ar"/>
              </w:rPr>
              <w:t>R(A)</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B2013D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cs="宋体"/>
                <w:color w:val="auto"/>
                <w:kern w:val="0"/>
                <w:szCs w:val="21"/>
                <w:highlight w:val="none"/>
                <w:lang w:eastAsia="en-US"/>
              </w:rPr>
            </w:pPr>
            <w:r>
              <w:rPr>
                <w:rFonts w:hint="eastAsia" w:ascii="宋体" w:hAnsi="宋体" w:cs="宋体"/>
                <w:color w:val="auto"/>
                <w:szCs w:val="21"/>
                <w:highlight w:val="none"/>
                <w:lang w:eastAsia="en-US" w:bidi="ar"/>
              </w:rPr>
              <w:t>S(B)</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2AD248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cs="宋体"/>
                <w:color w:val="auto"/>
                <w:kern w:val="0"/>
                <w:szCs w:val="21"/>
                <w:highlight w:val="none"/>
                <w:lang w:eastAsia="en-US"/>
              </w:rPr>
            </w:pPr>
            <w:r>
              <w:rPr>
                <w:rFonts w:hint="eastAsia" w:ascii="宋体" w:hAnsi="宋体" w:cs="宋体"/>
                <w:color w:val="auto"/>
                <w:szCs w:val="21"/>
                <w:highlight w:val="none"/>
                <w:lang w:eastAsia="en-US" w:bidi="ar"/>
              </w:rPr>
              <w:t>T(C)</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297F43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cs="宋体"/>
                <w:color w:val="auto"/>
                <w:kern w:val="0"/>
                <w:szCs w:val="21"/>
                <w:highlight w:val="none"/>
                <w:lang w:eastAsia="en-US"/>
              </w:rPr>
            </w:pPr>
            <w:r>
              <w:rPr>
                <w:rFonts w:hint="eastAsia" w:ascii="宋体" w:hAnsi="宋体" w:cs="宋体"/>
                <w:color w:val="auto"/>
                <w:szCs w:val="21"/>
                <w:highlight w:val="none"/>
                <w:lang w:eastAsia="en-US" w:bidi="ar"/>
              </w:rPr>
              <w:t>N</w:t>
            </w: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54BCFD6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cs="宋体"/>
                <w:color w:val="auto"/>
                <w:kern w:val="0"/>
                <w:szCs w:val="21"/>
                <w:highlight w:val="none"/>
                <w:lang w:eastAsia="en-US"/>
              </w:rPr>
            </w:pPr>
            <w:r>
              <w:rPr>
                <w:rFonts w:hint="eastAsia" w:ascii="宋体" w:hAnsi="宋体" w:cs="宋体"/>
                <w:color w:val="auto"/>
                <w:szCs w:val="21"/>
                <w:highlight w:val="none"/>
                <w:lang w:eastAsia="en-US" w:bidi="ar"/>
              </w:rPr>
              <w:t>E</w:t>
            </w:r>
          </w:p>
        </w:tc>
        <w:tc>
          <w:tcPr>
            <w:tcW w:w="1576" w:type="pct"/>
            <w:tcBorders>
              <w:top w:val="single" w:color="000000" w:sz="4" w:space="0"/>
              <w:left w:val="single" w:color="000000" w:sz="4" w:space="0"/>
              <w:bottom w:val="single" w:color="000000" w:sz="4" w:space="0"/>
              <w:right w:val="single" w:color="000000" w:sz="4" w:space="0"/>
            </w:tcBorders>
            <w:noWrap w:val="0"/>
            <w:vAlign w:val="center"/>
          </w:tcPr>
          <w:p w14:paraId="1E6B27E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cs="宋体"/>
                <w:color w:val="auto"/>
                <w:kern w:val="0"/>
                <w:szCs w:val="21"/>
                <w:highlight w:val="none"/>
                <w:lang w:eastAsia="en-US"/>
              </w:rPr>
            </w:pPr>
            <w:r>
              <w:rPr>
                <w:rFonts w:hint="eastAsia" w:ascii="宋体" w:hAnsi="宋体" w:cs="宋体"/>
                <w:color w:val="auto"/>
                <w:szCs w:val="21"/>
                <w:highlight w:val="none"/>
                <w:lang w:eastAsia="en-US" w:bidi="ar"/>
              </w:rPr>
              <w:t>备注</w:t>
            </w:r>
          </w:p>
        </w:tc>
      </w:tr>
      <w:tr w14:paraId="00CB9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27" w:type="pct"/>
            <w:tcBorders>
              <w:top w:val="single" w:color="000000" w:sz="4" w:space="0"/>
              <w:left w:val="single" w:color="000000" w:sz="4" w:space="0"/>
              <w:bottom w:val="single" w:color="000000" w:sz="4" w:space="0"/>
              <w:right w:val="single" w:color="000000" w:sz="4" w:space="0"/>
            </w:tcBorders>
            <w:noWrap w:val="0"/>
            <w:vAlign w:val="top"/>
          </w:tcPr>
          <w:p w14:paraId="02B720CA">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3∮5W</w:t>
            </w:r>
          </w:p>
          <w:p w14:paraId="25821FA8">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(含接地)</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4003B33">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149C5EF">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绿</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684712A">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红</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055441E">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兰</w:t>
            </w: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232651AE">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黄绿相间黄</w:t>
            </w:r>
          </w:p>
        </w:tc>
        <w:tc>
          <w:tcPr>
            <w:tcW w:w="1576" w:type="pct"/>
            <w:tcBorders>
              <w:top w:val="single" w:color="000000" w:sz="4" w:space="0"/>
              <w:left w:val="single" w:color="000000" w:sz="4" w:space="0"/>
              <w:bottom w:val="single" w:color="000000" w:sz="4" w:space="0"/>
              <w:right w:val="single" w:color="000000" w:sz="4" w:space="0"/>
            </w:tcBorders>
            <w:noWrap w:val="0"/>
            <w:vAlign w:val="top"/>
          </w:tcPr>
          <w:p w14:paraId="57767B43">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r>
      <w:tr w14:paraId="59F82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7" w:type="pct"/>
            <w:tcBorders>
              <w:top w:val="single" w:color="000000" w:sz="4" w:space="0"/>
              <w:left w:val="single" w:color="000000" w:sz="4" w:space="0"/>
              <w:bottom w:val="single" w:color="000000" w:sz="4" w:space="0"/>
              <w:right w:val="single" w:color="000000" w:sz="4" w:space="0"/>
            </w:tcBorders>
            <w:noWrap w:val="0"/>
            <w:vAlign w:val="top"/>
          </w:tcPr>
          <w:p w14:paraId="533D1610">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3∮4W</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96E6ED7">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4DAA7EE">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绿</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C3AA3E2">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红</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54D8E48">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682D7668">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黄绿相间黄</w:t>
            </w:r>
          </w:p>
        </w:tc>
        <w:tc>
          <w:tcPr>
            <w:tcW w:w="1576" w:type="pct"/>
            <w:tcBorders>
              <w:top w:val="single" w:color="000000" w:sz="4" w:space="0"/>
              <w:left w:val="single" w:color="000000" w:sz="4" w:space="0"/>
              <w:bottom w:val="single" w:color="000000" w:sz="4" w:space="0"/>
              <w:right w:val="single" w:color="000000" w:sz="4" w:space="0"/>
            </w:tcBorders>
            <w:noWrap w:val="0"/>
            <w:vAlign w:val="top"/>
          </w:tcPr>
          <w:p w14:paraId="263CE873">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r>
      <w:tr w14:paraId="2A3D3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7" w:type="pct"/>
            <w:tcBorders>
              <w:top w:val="single" w:color="000000" w:sz="4" w:space="0"/>
              <w:left w:val="single" w:color="000000" w:sz="4" w:space="0"/>
              <w:bottom w:val="single" w:color="000000" w:sz="4" w:space="0"/>
              <w:right w:val="single" w:color="000000" w:sz="4" w:space="0"/>
            </w:tcBorders>
            <w:noWrap w:val="0"/>
            <w:vAlign w:val="top"/>
          </w:tcPr>
          <w:p w14:paraId="4D3EC5DD">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2∮3W</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5471AFB">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EBF2610">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绿</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7DEBFA6">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6AEB355">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53C59230">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黄绿相间黄</w:t>
            </w:r>
          </w:p>
        </w:tc>
        <w:tc>
          <w:tcPr>
            <w:tcW w:w="1576" w:type="pct"/>
            <w:tcBorders>
              <w:top w:val="single" w:color="000000" w:sz="4" w:space="0"/>
              <w:left w:val="single" w:color="000000" w:sz="4" w:space="0"/>
              <w:bottom w:val="single" w:color="000000" w:sz="4" w:space="0"/>
              <w:right w:val="single" w:color="000000" w:sz="4" w:space="0"/>
            </w:tcBorders>
            <w:noWrap w:val="0"/>
            <w:vAlign w:val="top"/>
          </w:tcPr>
          <w:p w14:paraId="6B2352A2">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视开关占用之相序</w:t>
            </w:r>
          </w:p>
        </w:tc>
      </w:tr>
      <w:tr w14:paraId="18AF4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7" w:type="pct"/>
            <w:tcBorders>
              <w:top w:val="single" w:color="000000" w:sz="4" w:space="0"/>
              <w:left w:val="single" w:color="000000" w:sz="4" w:space="0"/>
              <w:bottom w:val="single" w:color="000000" w:sz="4" w:space="0"/>
              <w:right w:val="single" w:color="000000" w:sz="4" w:space="0"/>
            </w:tcBorders>
            <w:noWrap w:val="0"/>
            <w:vAlign w:val="top"/>
          </w:tcPr>
          <w:p w14:paraId="5637EDD0">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2∮3W</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48E8371">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889A707">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39753AB">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红</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CEF9534">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4E2FB6C8">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黄绿相间黄</w:t>
            </w:r>
          </w:p>
        </w:tc>
        <w:tc>
          <w:tcPr>
            <w:tcW w:w="1576" w:type="pct"/>
            <w:tcBorders>
              <w:top w:val="single" w:color="000000" w:sz="4" w:space="0"/>
              <w:left w:val="single" w:color="000000" w:sz="4" w:space="0"/>
              <w:bottom w:val="single" w:color="000000" w:sz="4" w:space="0"/>
              <w:right w:val="single" w:color="000000" w:sz="4" w:space="0"/>
            </w:tcBorders>
            <w:noWrap w:val="0"/>
            <w:vAlign w:val="top"/>
          </w:tcPr>
          <w:p w14:paraId="7DB3DF7A">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视开关占用之相序</w:t>
            </w:r>
          </w:p>
        </w:tc>
      </w:tr>
      <w:tr w14:paraId="07B6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7" w:type="pct"/>
            <w:tcBorders>
              <w:top w:val="single" w:color="000000" w:sz="4" w:space="0"/>
              <w:left w:val="single" w:color="000000" w:sz="4" w:space="0"/>
              <w:bottom w:val="single" w:color="000000" w:sz="4" w:space="0"/>
              <w:right w:val="single" w:color="000000" w:sz="4" w:space="0"/>
            </w:tcBorders>
            <w:noWrap w:val="0"/>
            <w:vAlign w:val="top"/>
          </w:tcPr>
          <w:p w14:paraId="1422CF26">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2∮3W</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29FC129">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96FDDCE">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绿</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00DDEEE">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红</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24236EB">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4A988B55">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黄绿相间黄</w:t>
            </w:r>
          </w:p>
        </w:tc>
        <w:tc>
          <w:tcPr>
            <w:tcW w:w="1576" w:type="pct"/>
            <w:tcBorders>
              <w:top w:val="single" w:color="000000" w:sz="4" w:space="0"/>
              <w:left w:val="single" w:color="000000" w:sz="4" w:space="0"/>
              <w:bottom w:val="single" w:color="000000" w:sz="4" w:space="0"/>
              <w:right w:val="single" w:color="000000" w:sz="4" w:space="0"/>
            </w:tcBorders>
            <w:noWrap w:val="0"/>
            <w:vAlign w:val="top"/>
          </w:tcPr>
          <w:p w14:paraId="527BAC59">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视开关占用之相序</w:t>
            </w:r>
          </w:p>
        </w:tc>
      </w:tr>
      <w:tr w14:paraId="40920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27" w:type="pct"/>
            <w:tcBorders>
              <w:top w:val="single" w:color="000000" w:sz="4" w:space="0"/>
              <w:left w:val="single" w:color="000000" w:sz="4" w:space="0"/>
              <w:bottom w:val="single" w:color="000000" w:sz="4" w:space="0"/>
              <w:right w:val="single" w:color="000000" w:sz="4" w:space="0"/>
            </w:tcBorders>
            <w:noWrap w:val="0"/>
            <w:vAlign w:val="top"/>
          </w:tcPr>
          <w:p w14:paraId="40575F0E">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1∮3W</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FCDF225">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0CBA0D5">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3308A7B">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04905E9">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兰</w:t>
            </w: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6C383A54">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黄绿相间黄</w:t>
            </w:r>
          </w:p>
        </w:tc>
        <w:tc>
          <w:tcPr>
            <w:tcW w:w="1576" w:type="pct"/>
            <w:tcBorders>
              <w:top w:val="single" w:color="000000" w:sz="4" w:space="0"/>
              <w:left w:val="single" w:color="000000" w:sz="4" w:space="0"/>
              <w:bottom w:val="single" w:color="000000" w:sz="4" w:space="0"/>
              <w:right w:val="single" w:color="000000" w:sz="4" w:space="0"/>
            </w:tcBorders>
            <w:noWrap w:val="0"/>
            <w:vAlign w:val="top"/>
          </w:tcPr>
          <w:p w14:paraId="50BA9CE4">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视开关占用之相序</w:t>
            </w:r>
          </w:p>
        </w:tc>
      </w:tr>
      <w:tr w14:paraId="1E60B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7" w:type="pct"/>
            <w:tcBorders>
              <w:top w:val="single" w:color="000000" w:sz="4" w:space="0"/>
              <w:left w:val="single" w:color="000000" w:sz="4" w:space="0"/>
              <w:bottom w:val="single" w:color="000000" w:sz="4" w:space="0"/>
              <w:right w:val="single" w:color="000000" w:sz="4" w:space="0"/>
            </w:tcBorders>
            <w:noWrap w:val="0"/>
            <w:vAlign w:val="top"/>
          </w:tcPr>
          <w:p w14:paraId="4C2E432E">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1∮3W</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AAC2C60">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C0C10E2">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绿</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D61BAE1">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439F958">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兰</w:t>
            </w: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172F9C9B">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黄绿相间黄</w:t>
            </w:r>
          </w:p>
        </w:tc>
        <w:tc>
          <w:tcPr>
            <w:tcW w:w="1576" w:type="pct"/>
            <w:tcBorders>
              <w:top w:val="single" w:color="000000" w:sz="4" w:space="0"/>
              <w:left w:val="single" w:color="000000" w:sz="4" w:space="0"/>
              <w:bottom w:val="single" w:color="000000" w:sz="4" w:space="0"/>
              <w:right w:val="single" w:color="000000" w:sz="4" w:space="0"/>
            </w:tcBorders>
            <w:noWrap w:val="0"/>
            <w:vAlign w:val="top"/>
          </w:tcPr>
          <w:p w14:paraId="788D230B">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视开关占用之相序</w:t>
            </w:r>
          </w:p>
        </w:tc>
      </w:tr>
      <w:tr w14:paraId="7646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7" w:type="pct"/>
            <w:tcBorders>
              <w:top w:val="single" w:color="000000" w:sz="4" w:space="0"/>
              <w:left w:val="single" w:color="000000" w:sz="4" w:space="0"/>
              <w:bottom w:val="single" w:color="000000" w:sz="4" w:space="0"/>
              <w:right w:val="single" w:color="000000" w:sz="4" w:space="0"/>
            </w:tcBorders>
            <w:noWrap w:val="0"/>
            <w:vAlign w:val="top"/>
          </w:tcPr>
          <w:p w14:paraId="33F46C8A">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1∮3W</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02D46EE">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DDD11B3">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DE7700C">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红</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AC2317F">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兰</w:t>
            </w: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4420F499">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黄绿相间黄</w:t>
            </w:r>
          </w:p>
        </w:tc>
        <w:tc>
          <w:tcPr>
            <w:tcW w:w="1576" w:type="pct"/>
            <w:tcBorders>
              <w:top w:val="single" w:color="000000" w:sz="4" w:space="0"/>
              <w:left w:val="single" w:color="000000" w:sz="4" w:space="0"/>
              <w:bottom w:val="single" w:color="000000" w:sz="4" w:space="0"/>
              <w:right w:val="single" w:color="000000" w:sz="4" w:space="0"/>
            </w:tcBorders>
            <w:noWrap w:val="0"/>
            <w:vAlign w:val="top"/>
          </w:tcPr>
          <w:p w14:paraId="7829EAEE">
            <w:pPr>
              <w:keepNext w:val="0"/>
              <w:keepLines w:val="0"/>
              <w:suppressLineNumbers w:val="0"/>
              <w:autoSpaceDE w:val="0"/>
              <w:spacing w:before="0" w:beforeAutospacing="0" w:after="0" w:afterAutospacing="0" w:line="360" w:lineRule="auto"/>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bidi="ar"/>
              </w:rPr>
              <w:t>视开关占用之相序</w:t>
            </w:r>
          </w:p>
        </w:tc>
      </w:tr>
    </w:tbl>
    <w:p w14:paraId="1BA78D7F">
      <w:pPr>
        <w:autoSpaceDE w:val="0"/>
        <w:spacing w:before="120"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根据UM表和工艺设备用电需求配置相对应的变压器，设备端可能有欧型端子、日式端子、针型端子等不同形式端子台，承包商应选用与之匹配的电缆端子进行电缆末端连接，并使用匹配的压接工具进行施工。</w:t>
      </w:r>
    </w:p>
    <w:p w14:paraId="2025D79A">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.2.2电源插座</w:t>
      </w:r>
    </w:p>
    <w:p w14:paraId="163EF0D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（1）插座应按各区特性及设备布置。插座均为接地型，具有不同额定（电流或电压）等级的插座应有不同的构造及外形；</w:t>
      </w:r>
    </w:p>
    <w:p w14:paraId="7D6C75B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（2）电源插座应安装在彩钢板墙板上，柱上或固定在地上生根的支架上，离地0.2～0.5米，配置要求按照设备现场情况与业主方商定。</w:t>
      </w:r>
    </w:p>
    <w:p w14:paraId="17F4231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（3）明盒材质：铝合金（施工前与业主方确认）。</w:t>
      </w:r>
    </w:p>
    <w:p w14:paraId="4A47DE92">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.2.3接地系统</w:t>
      </w:r>
    </w:p>
    <w:p w14:paraId="15D37FE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（1）所有电气装置的外露可导电部分和装置外可导电部分（如配电、用电设备金属外壳，配电线路的金属保护管、金属电缆桥架、安装金属配件等）均与PE线可靠连接；接线端子需采用镀银的铜制端子；</w:t>
      </w:r>
    </w:p>
    <w:p w14:paraId="5DD2C87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（2）机台/插座等用电设施的PE线（并非重复接地线）应跟随电源线从上级生产动力盘中的接地排引来；</w:t>
      </w:r>
    </w:p>
    <w:p w14:paraId="57EC30E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（3）PE线的截面不应小于同回路相线截面的50%，截面小于16mm</w:t>
      </w:r>
      <w:r>
        <w:rPr>
          <w:rFonts w:hint="eastAsia" w:ascii="宋体" w:hAnsi="宋体" w:cs="宋体"/>
          <w:color w:val="auto"/>
          <w:szCs w:val="21"/>
          <w:highlight w:val="none"/>
          <w:vertAlign w:val="superscript"/>
          <w:lang w:bidi="ar"/>
        </w:rPr>
        <w:t>2</w:t>
      </w:r>
      <w:r>
        <w:rPr>
          <w:rFonts w:hint="eastAsia" w:ascii="宋体" w:hAnsi="宋体" w:cs="宋体"/>
          <w:color w:val="auto"/>
          <w:szCs w:val="21"/>
          <w:highlight w:val="none"/>
          <w:lang w:bidi="ar"/>
        </w:rPr>
        <w:t>的线路应与相线等截面；</w:t>
      </w:r>
    </w:p>
    <w:p w14:paraId="2310F11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（4）对敏感设备，为避免电磁干扰影响某些生产设备产生误动作，应限制导线经过敏感区域，或采取必要措施，以满足生产设备电磁干扰限制的要求；</w:t>
      </w:r>
    </w:p>
    <w:p w14:paraId="0091DA2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（5）为避免接触及摩擦产生静电放电影响到产品制程中受到损坏，所有配管承包范围内的管架、金属外壳、金属管道均须良好接地。</w:t>
      </w:r>
    </w:p>
    <w:p w14:paraId="2DAC7ECD">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.3施工要求</w:t>
      </w:r>
    </w:p>
    <w:p w14:paraId="1D6B1444">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3.1使用的配电盘，具体的接线位置需参照原有主系统进行核准。承包商需充分考虑并选择配电盘及插接位置，使用的配电盘必须符合现场机台使用需求以及整体规划要求，能走到回风夹道的走线放置在回风夹道中，与业主方综合考量规划核准后方可使用；</w:t>
      </w:r>
    </w:p>
    <w:p w14:paraId="6C13D9BE">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.3.2每个动力开关与每路机台端子必须一一对应；</w:t>
      </w:r>
    </w:p>
    <w:p w14:paraId="1871E441">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.3.3电缆在电缆桥架内敷设，出桥架的线路穿不锈钢管敷设电缆敷设应符合国家标准；</w:t>
      </w:r>
    </w:p>
    <w:p w14:paraId="2F8F0BC0">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.3.4凡穿越不同防火分区的电气线路均在出入口处作防火处理和密封处理，以保证火灾消防的要求；</w:t>
      </w:r>
    </w:p>
    <w:p w14:paraId="0B68156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.3.5有化学腐蚀场所的线路穿耐腐蚀性管道敷设；有防爆要求场所使用厚壁钢管并作密封处理；</w:t>
      </w:r>
    </w:p>
    <w:p w14:paraId="1A7F42BB">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.3.6配管方式及线路由施工方根据原有系统及现有施工现场环境规划后与业主方综合考量核准后方可使用。</w:t>
      </w:r>
    </w:p>
    <w:p w14:paraId="25B48E99">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.3.7标识、防护与警示</w:t>
      </w:r>
    </w:p>
    <w:p w14:paraId="6394BC7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施工时按国家规范和业主方要求做好标识、防护、警示。</w:t>
      </w:r>
    </w:p>
    <w:p w14:paraId="26D70E0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.3.8桥架与线管</w:t>
      </w:r>
    </w:p>
    <w:p w14:paraId="232A45E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（1）电力系统使用的电缆桥架采用托盘式桥架和梯架式两种，洁净室室内采用带盖板的梯架，用于电力电缆的敷设，小截面电力电缆采用托盘式桥架。电缆桥架/梯架材料为冷轧钢板烤漆；</w:t>
      </w:r>
    </w:p>
    <w:p w14:paraId="6825B51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（2）电气金属管使用于室内明或暗管安装；硬质PVC管使用在有腐蚀性的场所；</w:t>
      </w:r>
    </w:p>
    <w:p w14:paraId="7B64EB7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（3）电缆桥架、线槽及其支吊架使用在有腐蚀性环境中，应采用耐腐蚀电缆桥架刚性材料制造或采取防腐蚀处理；</w:t>
      </w:r>
    </w:p>
    <w:p w14:paraId="6AAA4AD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（4）电缆桥架过沉降缝时应断开，防腐蚀处理方式应满足工程要求；</w:t>
      </w:r>
    </w:p>
    <w:p w14:paraId="696D2B4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（5）电缆须使用电缆桥架。在已经满布电缆的桥架内，不允许铺第二层电缆。电缆桥架需保持电气连通，确保接地的连续性。</w:t>
      </w:r>
    </w:p>
    <w:p w14:paraId="2012CC87">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bidi="ar"/>
        </w:rPr>
        <w:t>.4测试</w:t>
      </w:r>
    </w:p>
    <w:p w14:paraId="6AAAAEB6">
      <w:pPr>
        <w:keepNext w:val="0"/>
        <w:keepLines w:val="0"/>
        <w:widowControl w:val="0"/>
        <w:suppressLineNumbers w:val="0"/>
        <w:spacing w:before="0" w:beforeAutospacing="0" w:after="0" w:afterAutospacing="0" w:line="360" w:lineRule="auto"/>
        <w:ind w:left="0" w:right="0" w:firstLine="495" w:firstLineChars="236"/>
        <w:jc w:val="both"/>
        <w:outlineLvl w:val="5"/>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3.5.4.1目测验收需满足线路规整、线路标识清楚、接线端子牢固、绝缘措施防护得当；</w:t>
      </w:r>
    </w:p>
    <w:p w14:paraId="5879D70C">
      <w:pPr>
        <w:keepNext w:val="0"/>
        <w:keepLines w:val="0"/>
        <w:widowControl w:val="0"/>
        <w:suppressLineNumbers w:val="0"/>
        <w:spacing w:before="0" w:beforeAutospacing="0" w:after="0" w:afterAutospacing="0" w:line="360" w:lineRule="auto"/>
        <w:ind w:left="0" w:right="0" w:firstLine="495" w:firstLineChars="236"/>
        <w:jc w:val="both"/>
        <w:outlineLvl w:val="5"/>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3.5.4.2绝缘测试</w:t>
      </w:r>
    </w:p>
    <w:p w14:paraId="69D35223">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（1）绝缘电阻应利用洁净室适用的绝缘测试仪来测量；</w:t>
      </w:r>
    </w:p>
    <w:p w14:paraId="41E71B72">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（2）使用的电压600V或以上；</w:t>
      </w:r>
    </w:p>
    <w:p w14:paraId="6C989014">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（3）电压须一直加在测试点上直到稳定状态时为止；</w:t>
      </w:r>
    </w:p>
    <w:p w14:paraId="3A89F0D7">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（4）电力通路及相位测试，依据下列步骤使用绝缘测试仪或万用表来检查：</w:t>
      </w:r>
    </w:p>
    <w:p w14:paraId="7E29B264">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A.在电缆一端以夹线在导体与金属护件（或接地金属）之间来完成搭接；</w:t>
      </w:r>
    </w:p>
    <w:p w14:paraId="7B71D275">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B.在搭接的另一端于相同的导体与金属护件（或接地金属）之间使用同一个线路测试仪；</w:t>
      </w:r>
    </w:p>
    <w:p w14:paraId="10CABC74">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C.以相同的方式在所有导体间来作检查；</w:t>
      </w:r>
    </w:p>
    <w:p w14:paraId="4B26A4FC">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D.电压</w:t>
      </w:r>
    </w:p>
    <w:p w14:paraId="0693AF7E">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送电后，利用洁净室使用的电压表来测量，电压不超过额定5%，其中零地电压小于0.5V。</w:t>
      </w:r>
    </w:p>
    <w:p w14:paraId="58CFEA37">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E.相序</w:t>
      </w:r>
    </w:p>
    <w:p w14:paraId="286566DB">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color w:val="auto"/>
          <w:szCs w:val="21"/>
          <w:highlight w:val="none"/>
          <w:lang w:val="en-US"/>
          <w:woUserID w:val="2"/>
        </w:rPr>
      </w:pPr>
      <w:r>
        <w:rPr>
          <w:rFonts w:hint="eastAsia" w:ascii="宋体" w:hAnsi="宋体" w:eastAsia="宋体" w:cs="宋体"/>
          <w:color w:val="auto"/>
          <w:kern w:val="2"/>
          <w:sz w:val="21"/>
          <w:szCs w:val="21"/>
          <w:highlight w:val="none"/>
          <w:lang w:val="en-US" w:eastAsia="zh-CN" w:bidi="ar"/>
          <w:woUserID w:val="2"/>
        </w:rPr>
        <w:t>送电后，利用洁净室使用的相序表来测量，相序正常</w:t>
      </w:r>
    </w:p>
    <w:p w14:paraId="081734E2">
      <w:pPr>
        <w:spacing w:line="360" w:lineRule="auto"/>
        <w:ind w:firstLine="498" w:firstLineChars="236"/>
        <w:outlineLvl w:val="3"/>
        <w:rPr>
          <w:rFonts w:hint="eastAsia" w:ascii="宋体" w:hAnsi="宋体" w:cs="宋体"/>
          <w:b/>
          <w:bCs/>
          <w:color w:val="auto"/>
          <w:szCs w:val="21"/>
          <w:highlight w:val="none"/>
          <w:lang w:bidi="ar"/>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.6工艺超纯水二次配</w:t>
      </w:r>
    </w:p>
    <w:p w14:paraId="073B6A91">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6</w:t>
      </w:r>
      <w:r>
        <w:rPr>
          <w:rFonts w:hint="eastAsia" w:ascii="宋体" w:hAnsi="宋体" w:cs="宋体"/>
          <w:color w:val="auto"/>
          <w:szCs w:val="21"/>
          <w:highlight w:val="none"/>
          <w:lang w:bidi="ar"/>
        </w:rPr>
        <w:t>.1界面点</w:t>
      </w:r>
    </w:p>
    <w:p w14:paraId="061B6B5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6</w:t>
      </w:r>
      <w:r>
        <w:rPr>
          <w:rFonts w:hint="eastAsia" w:ascii="宋体" w:hAnsi="宋体" w:cs="宋体"/>
          <w:color w:val="auto"/>
          <w:szCs w:val="21"/>
          <w:highlight w:val="none"/>
          <w:lang w:bidi="ar"/>
        </w:rPr>
        <w:t>.1.1管路</w:t>
      </w:r>
    </w:p>
    <w:p w14:paraId="19EC1C68">
      <w:pPr>
        <w:spacing w:line="360" w:lineRule="auto"/>
        <w:ind w:firstLine="495" w:firstLineChars="236"/>
        <w:rPr>
          <w:rFonts w:hint="eastAsia" w:ascii="宋体" w:hAnsi="宋体" w:cs="宋体"/>
          <w:color w:val="auto"/>
          <w:szCs w:val="21"/>
          <w:highlight w:val="none"/>
          <w:lang w:bidi="ar"/>
        </w:rPr>
      </w:pPr>
      <w:r>
        <w:rPr>
          <w:rFonts w:hint="eastAsia" w:ascii="宋体" w:hAnsi="宋体" w:cs="宋体"/>
          <w:color w:val="auto"/>
          <w:szCs w:val="21"/>
          <w:highlight w:val="none"/>
          <w:lang w:bidi="ar"/>
        </w:rPr>
        <w:t>（1）从一次配吊顶上预留的纯水系统支管上的阀门之后至设备接口的这段配管及阀件（包含但不限于端子/法兰/EPDM+PTFE复合垫片等）。</w:t>
      </w:r>
    </w:p>
    <w:p w14:paraId="6CC1FCB5">
      <w:pPr>
        <w:spacing w:line="360" w:lineRule="auto"/>
        <w:ind w:firstLine="495" w:firstLineChars="236"/>
        <w:rPr>
          <w:rFonts w:hint="eastAsia" w:ascii="宋体" w:hAnsi="宋体" w:cs="宋体"/>
          <w:color w:val="auto"/>
          <w:szCs w:val="21"/>
          <w:highlight w:val="none"/>
          <w:lang w:bidi="ar"/>
        </w:rPr>
      </w:pPr>
      <w:r>
        <w:rPr>
          <w:rFonts w:hint="eastAsia" w:ascii="宋体" w:hAnsi="宋体" w:cs="宋体"/>
          <w:color w:val="auto"/>
          <w:szCs w:val="21"/>
          <w:highlight w:val="none"/>
          <w:lang w:bidi="ar"/>
        </w:rPr>
        <w:t>（2）配管方式及线路由施工方综合考虑并符合使用要求；</w:t>
      </w:r>
    </w:p>
    <w:p w14:paraId="4B9DFA9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6</w:t>
      </w:r>
      <w:r>
        <w:rPr>
          <w:rFonts w:hint="eastAsia" w:ascii="宋体" w:hAnsi="宋体" w:cs="宋体"/>
          <w:color w:val="auto"/>
          <w:szCs w:val="21"/>
          <w:highlight w:val="none"/>
          <w:lang w:bidi="ar"/>
        </w:rPr>
        <w:t>.1.2附件</w:t>
      </w:r>
    </w:p>
    <w:p w14:paraId="2774338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（1）无论采取何种配管方式，每个设备机台接口（含送、回水）或Valve Panel接口必须提供并安装不小于设备机台接口口径的隔膜阀各一个，隔膜阀应安装于适当位置；</w:t>
      </w:r>
    </w:p>
    <w:p w14:paraId="6A383C6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（2）需确认机台所需要的不同使用压力，在供水管上安装相应阀门、压力表及相关配件，以满足机台需求；</w:t>
      </w:r>
    </w:p>
    <w:p w14:paraId="335748B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（3）施工方应根据使用要求将管道附件（包括但不限于压力表、流量计、隔膜阀等）串接安装于配管管路上，</w:t>
      </w:r>
      <w:r>
        <w:rPr>
          <w:rFonts w:hint="eastAsia" w:ascii="宋体" w:hAnsi="宋体" w:cs="宋体"/>
          <w:strike w:val="0"/>
          <w:dstrike w:val="0"/>
          <w:color w:val="auto"/>
          <w:szCs w:val="21"/>
          <w:highlight w:val="none"/>
          <w:lang w:eastAsia="zh" w:bidi="ar"/>
          <w:woUserID w:val="2"/>
        </w:rPr>
        <w:t>并</w:t>
      </w:r>
      <w:r>
        <w:rPr>
          <w:rFonts w:hint="eastAsia" w:ascii="宋体" w:hAnsi="宋体" w:cs="宋体"/>
          <w:color w:val="auto"/>
          <w:szCs w:val="21"/>
          <w:highlight w:val="none"/>
          <w:lang w:bidi="ar"/>
        </w:rPr>
        <w:t>提供接头/转接头、变径、安装支吊架、安装防护、接续动力。</w:t>
      </w:r>
    </w:p>
    <w:p w14:paraId="28CE3A83">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6</w:t>
      </w:r>
      <w:r>
        <w:rPr>
          <w:rFonts w:hint="eastAsia" w:ascii="宋体" w:hAnsi="宋体" w:cs="宋体"/>
          <w:color w:val="auto"/>
          <w:szCs w:val="21"/>
          <w:highlight w:val="none"/>
          <w:lang w:bidi="ar"/>
        </w:rPr>
        <w:t>.2材料要求</w:t>
      </w:r>
    </w:p>
    <w:p w14:paraId="58614DD8">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6</w:t>
      </w:r>
      <w:r>
        <w:rPr>
          <w:rFonts w:hint="eastAsia" w:ascii="宋体" w:hAnsi="宋体" w:cs="宋体"/>
          <w:color w:val="auto"/>
          <w:szCs w:val="21"/>
          <w:highlight w:val="none"/>
          <w:lang w:bidi="ar"/>
        </w:rPr>
        <w:t>.2.1管道材质：（含Fitting、Tee等各类管接配件）</w:t>
      </w:r>
    </w:p>
    <w:p w14:paraId="0C8565E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洁净室的纯水输送用管材采用PVDF管材，热熔焊接，阀门及附件采用与管材相同材质。</w:t>
      </w:r>
    </w:p>
    <w:p w14:paraId="2D2CDEA9">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6</w:t>
      </w:r>
      <w:r>
        <w:rPr>
          <w:rFonts w:hint="eastAsia" w:ascii="宋体" w:hAnsi="宋体" w:cs="宋体"/>
          <w:color w:val="auto"/>
          <w:szCs w:val="21"/>
          <w:highlight w:val="none"/>
          <w:lang w:bidi="ar"/>
        </w:rPr>
        <w:t>.3施工要求</w:t>
      </w:r>
    </w:p>
    <w:p w14:paraId="4A28D5C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作业环境及洁净要求：预制房应能避风雨，无阳光直射；室内应清洁无尘；室内温度保持在10～30℃；所有搬入预制房和安装现场的机具、工具、材料，应仔细擦拭，确保无尘埃、污迹、油脂的黏附；在洁净室内的安装现场不得进行污染洁净管材、产尘及产生明显烟雾的其他作业，确无法避免时，应经业主方同意，并采取相应有效的吸尘措施；操作者应按施工阶段的要求穿着指定的工作服、洁净服和洁净鞋帽，并经常保持清洁。</w:t>
      </w:r>
    </w:p>
    <w:p w14:paraId="0D1B28F4">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6</w:t>
      </w:r>
      <w:r>
        <w:rPr>
          <w:rFonts w:hint="eastAsia" w:ascii="宋体" w:hAnsi="宋体" w:cs="宋体"/>
          <w:color w:val="auto"/>
          <w:szCs w:val="21"/>
          <w:highlight w:val="none"/>
          <w:lang w:bidi="ar"/>
        </w:rPr>
        <w:t>.4测试</w:t>
      </w:r>
    </w:p>
    <w:p w14:paraId="3FC15E9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（1）配管完成后的管内吹除</w:t>
      </w:r>
    </w:p>
    <w:p w14:paraId="436E564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在系统安装完毕投入使用前，应当用高纯气体、高洁净气体对送配管路系统进行彻底吹除。</w:t>
      </w:r>
    </w:p>
    <w:p w14:paraId="39445BE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（2）管道压力试验</w:t>
      </w:r>
    </w:p>
    <w:p w14:paraId="0859D96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管道吹除完成后，进行管道试压。强度试验压力为设计压力的1.5倍，试验时间为3h，不得产生降压。</w:t>
      </w:r>
    </w:p>
    <w:p w14:paraId="0DEAD61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（3）严密性试验</w:t>
      </w:r>
    </w:p>
    <w:p w14:paraId="1235C4E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压力为设计压力的1.25倍，试验时间为24小时，试验时分系统分管段自系统的最低点供水。试验流体：纯水（与工作介质纯度相同）。若在高洁净区域或禁水的区域宜采用高纯氮气进行严密性压力试验。在确认无泄漏后，压力变化在±3%以内为合格。试验介质采用高纯氮气（99.999%以上）。若达不到该要求，应对管道系统进行检查并处理，处理完毕后再次进行试验，直到符合要求为止。</w:t>
      </w:r>
    </w:p>
    <w:p w14:paraId="1F74A8D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（4）系统的清洗</w:t>
      </w:r>
    </w:p>
    <w:p w14:paraId="3F78F2D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压力试验完成后，进行系统清洗，冲洗的介质采用纯水及相应的化学品，沿供给方向流动冲洗管线，至阀门输出排放到化学品储药桶内运出。清洗至测试合格（达到超纯水的一次配招标要求）为止。</w:t>
      </w:r>
    </w:p>
    <w:p w14:paraId="5283B87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（5）管道的标示</w:t>
      </w:r>
    </w:p>
    <w:p w14:paraId="394952A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以上试验完毕后，应及时贴上标签，标签应包括介质、流向、颜色等内容。</w:t>
      </w:r>
    </w:p>
    <w:p w14:paraId="71944922">
      <w:pPr>
        <w:spacing w:line="360" w:lineRule="auto"/>
        <w:ind w:firstLine="498" w:firstLineChars="236"/>
        <w:outlineLvl w:val="3"/>
        <w:rPr>
          <w:rFonts w:hint="eastAsia" w:ascii="宋体" w:hAnsi="宋体" w:cs="宋体"/>
          <w:b/>
          <w:bCs/>
          <w:color w:val="auto"/>
          <w:szCs w:val="21"/>
          <w:highlight w:val="none"/>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.7工艺排气系统二次配</w:t>
      </w:r>
    </w:p>
    <w:p w14:paraId="5161CA83">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 xml:space="preserve">.1 </w:t>
      </w:r>
      <w:r>
        <w:rPr>
          <w:rFonts w:hint="eastAsia" w:ascii="宋体" w:hAnsi="宋体" w:cs="宋体"/>
          <w:color w:val="auto"/>
          <w:szCs w:val="21"/>
          <w:highlight w:val="none"/>
          <w:lang w:eastAsia="zh" w:bidi="ar"/>
          <w:woUserID w:val="1"/>
        </w:rPr>
        <w:t>Exhaust一SEX、AEX</w:t>
      </w:r>
      <w:r>
        <w:rPr>
          <w:rFonts w:hint="eastAsia" w:ascii="宋体" w:hAnsi="宋体" w:cs="宋体"/>
          <w:color w:val="auto"/>
          <w:szCs w:val="21"/>
          <w:highlight w:val="none"/>
          <w:lang w:bidi="ar"/>
        </w:rPr>
        <w:t>（酸、碱排气）</w:t>
      </w:r>
    </w:p>
    <w:p w14:paraId="6D8F94B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.1.1界面点：</w:t>
      </w:r>
    </w:p>
    <w:p w14:paraId="0805BDBF">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.1.1.1管路</w:t>
      </w:r>
    </w:p>
    <w:p w14:paraId="74866C50">
      <w:pPr>
        <w:numPr>
          <w:ilvl w:val="0"/>
          <w:numId w:val="7"/>
        </w:num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从动力侧一次主管Take off点接至设备机台对应的酸/碱各接口，近设备侧加装阀门，需要经过尾气处理器的酸碱废气需先经过尾气处理器处理后，再排入动力侧一次主管</w:t>
      </w:r>
      <w:r>
        <w:rPr>
          <w:rFonts w:hint="eastAsia" w:ascii="宋体" w:hAnsi="宋体" w:cs="宋体"/>
          <w:color w:val="auto"/>
          <w:szCs w:val="21"/>
          <w:highlight w:val="none"/>
        </w:rPr>
        <w:t>；</w:t>
      </w:r>
    </w:p>
    <w:p w14:paraId="5A2FC510">
      <w:pPr>
        <w:numPr>
          <w:ilvl w:val="0"/>
          <w:numId w:val="7"/>
        </w:num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配管沿途以及各端的接头、三通、转换头和连接件（包含但不限于端子/法兰/PTFE垫片/不锈钢螺栓等）；</w:t>
      </w:r>
    </w:p>
    <w:p w14:paraId="1C3C119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（3）配管方式及线路由施工方综合考虑并符合规范和观感要求；</w:t>
      </w:r>
    </w:p>
    <w:p w14:paraId="7865F897">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.1.1.2附件</w:t>
      </w:r>
    </w:p>
    <w:p w14:paraId="1C287B2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无论采取何种配管方式，风管从设备机台每个排气接口引出时，施工方必须提供并安装不小于设备机台接口口径的手动挡板蝶阀（无毒气体）/不锈钢球阀（有毒气体）一个。手阀应安装于适当位置，由施工方综合考虑并符合规范和观感要求；</w:t>
      </w:r>
    </w:p>
    <w:p w14:paraId="228F9B7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（2）风管从设备机台排气接口引出时，</w:t>
      </w:r>
      <w:r>
        <w:rPr>
          <w:rFonts w:hint="eastAsia" w:ascii="宋体" w:hAnsi="宋体" w:cs="宋体"/>
          <w:color w:val="auto"/>
          <w:szCs w:val="21"/>
          <w:highlight w:val="none"/>
          <w:lang w:eastAsia="zh" w:bidi="ar"/>
          <w:woUserID w:val="1"/>
        </w:rPr>
        <w:t>需</w:t>
      </w:r>
      <w:r>
        <w:rPr>
          <w:rFonts w:hint="eastAsia" w:ascii="宋体" w:hAnsi="宋体" w:cs="宋体"/>
          <w:color w:val="auto"/>
          <w:szCs w:val="21"/>
          <w:highlight w:val="none"/>
          <w:lang w:bidi="ar"/>
        </w:rPr>
        <w:t>提供并安装负压表。负压表应安装于便于观察的位置，由施工方综合考虑并符合规范和观感要求；</w:t>
      </w:r>
    </w:p>
    <w:p w14:paraId="1F739FE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（3）在风管适当位置处配置排液接口、排液手阀、排液管路并引至业主方核准的排液收集口，每条排液通径上应不少于两个排液手阀；</w:t>
      </w:r>
    </w:p>
    <w:p w14:paraId="46D0764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（4）施工方应将管道附件（包括但不限于静压表、增压风机等）串接安装于风管管路上，并为该类附件提供接头/转接头、变径、安装支吊架、安装防护、接续动力；</w:t>
      </w:r>
    </w:p>
    <w:p w14:paraId="28F3700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（5）在尾气处理器后面风管上安装观察孔、采样口等附件；</w:t>
      </w:r>
    </w:p>
    <w:p w14:paraId="004E1C1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（6）特氟龙内衬管道及管件的开孔，需为工厂成品，不得现场开孔加工，影响防酸碱腐蚀等性能；</w:t>
      </w:r>
    </w:p>
    <w:p w14:paraId="164F3FD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（7）风管上的螺纹预留接口与其配套接续的管件螺纹形式需一致，确保密封性能。</w:t>
      </w:r>
    </w:p>
    <w:p w14:paraId="1B24A82A">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.1.2材料要求</w:t>
      </w:r>
    </w:p>
    <w:p w14:paraId="28CB85EE">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.1.2.1风管（含Fitting、Tee等各类管配件）</w:t>
      </w:r>
    </w:p>
    <w:p w14:paraId="528F764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（1）材质：</w:t>
      </w:r>
    </w:p>
    <w:p w14:paraId="5F35ADA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A.酸排、碱排管道尾气处理器前后</w:t>
      </w:r>
      <w:r>
        <w:rPr>
          <w:rFonts w:hint="eastAsia" w:ascii="宋体" w:hAnsi="宋体" w:cs="宋体"/>
          <w:color w:val="auto"/>
          <w:szCs w:val="21"/>
          <w:highlight w:val="none"/>
          <w:lang w:eastAsia="zh" w:bidi="ar"/>
          <w:woUserID w:val="1"/>
        </w:rPr>
        <w:t>均</w:t>
      </w:r>
      <w:r>
        <w:rPr>
          <w:rFonts w:hint="eastAsia" w:ascii="宋体" w:hAnsi="宋体" w:cs="宋体"/>
          <w:color w:val="auto"/>
          <w:szCs w:val="21"/>
          <w:highlight w:val="none"/>
          <w:lang w:bidi="ar"/>
        </w:rPr>
        <w:t>为SUS304加特氟龙内衬（Teflon Coating），用管道内涂层的工艺要求为填充性ETFE体系，Teflon Coating要求：</w:t>
      </w:r>
    </w:p>
    <w:p w14:paraId="5FA8FEF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风管涂层防腐蚀底漆 + 风管涂层防腐蚀面漆</w:t>
      </w:r>
    </w:p>
    <w:p w14:paraId="2A76EBE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w:t>
      </w:r>
      <w:r>
        <w:rPr>
          <w:rFonts w:hint="eastAsia" w:ascii="宋体" w:hAnsi="宋体" w:cs="宋体"/>
          <w:color w:val="auto"/>
          <w:szCs w:val="21"/>
          <w:highlight w:val="none"/>
          <w:lang w:eastAsia="zh" w:bidi="ar"/>
          <w:woUserID w:val="1"/>
        </w:rPr>
        <w:t>管壁厚度按照《通凤与空调工程施工质量验收规范》高压系统确认</w:t>
      </w:r>
      <w:r>
        <w:rPr>
          <w:rFonts w:hint="eastAsia" w:ascii="宋体" w:hAnsi="宋体" w:cs="宋体"/>
          <w:color w:val="auto"/>
          <w:szCs w:val="21"/>
          <w:highlight w:val="none"/>
          <w:lang w:bidi="ar"/>
        </w:rPr>
        <w:t>；</w:t>
      </w:r>
    </w:p>
    <w:p w14:paraId="3D30C9D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C.涂层厚度：内部表面内衬平均膜厚需在6~12mils，单点膜厚不低于5mils</w:t>
      </w:r>
    </w:p>
    <w:p w14:paraId="36B3F78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D.SUS304不锈钢波纹管。（适用包括但不限于Dry Pump、Local Scrubber等排气出口处）；</w:t>
      </w:r>
    </w:p>
    <w:p w14:paraId="7836D4E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E.排气软管为PVC或尼龙布，内穿热镀锌直缝焊接不锈钢丝增强，且热镀锌直缝焊接不锈钢丝不会直接接触到风管内的排气介质，具有防酸碱腐蚀性能；</w:t>
      </w:r>
    </w:p>
    <w:p w14:paraId="25E3FBD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（2）管径参考标准：</w:t>
      </w:r>
    </w:p>
    <w:p w14:paraId="06D1102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设备最大用量下满足流速＜6m/s，同时管径不小于设备进出接口口径。如配管工事管径大于设备进出接口口径，管道应在距离设备进出接口1米范围内且在施工方提供的控制手阀之后，方可变径为设备接口对应的口径。以上由施工方综合考虑并符合使用要求。</w:t>
      </w:r>
    </w:p>
    <w:p w14:paraId="4CD5B9B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（3）连接方式：</w:t>
      </w:r>
    </w:p>
    <w:p w14:paraId="26C69D2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A.风管法兰连接：</w:t>
      </w:r>
    </w:p>
    <w:p w14:paraId="21D7BA1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每根风管引出后，应在靠近设备机台接口处和距离约2～3米处各设置一个法兰或相同作用（可多次无损拆装）的连接形式，并配置适当的支吊架，便于日后运行中局部风管的拆卸清扫。</w:t>
      </w:r>
    </w:p>
    <w:p w14:paraId="4D19AE7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机台与风管的连接应使用硬管连接。如有特殊情况需使用软管的，必须由业主方许可后方可使用。若使用软管+承插方式连接，则软管靠近机台的一端必须加装固定支架，以防脱落。</w:t>
      </w:r>
    </w:p>
    <w:p w14:paraId="1AA087F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风管与机台接口的连接方式：若使用KF接口的Bellow管，则Bellow管的长度应不低于25cm。</w:t>
      </w:r>
    </w:p>
    <w:p w14:paraId="5EB05B50">
      <w:pPr>
        <w:spacing w:line="360" w:lineRule="auto"/>
        <w:ind w:firstLine="495" w:firstLineChars="236"/>
        <w:outlineLvl w:val="6"/>
        <w:rPr>
          <w:rFonts w:hint="eastAsia" w:ascii="宋体" w:hAnsi="宋体" w:eastAsia="宋体" w:cs="宋体"/>
          <w:color w:val="auto"/>
          <w:szCs w:val="21"/>
          <w:highlight w:val="none"/>
          <w:lang w:eastAsia="zh"/>
          <w:woUserID w:val="1"/>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.1.2.2风阀</w:t>
      </w:r>
    </w:p>
    <w:p w14:paraId="5F60A13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（1）材质：同风管材质；</w:t>
      </w:r>
    </w:p>
    <w:p w14:paraId="441B310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（2）口径：参照风管口径要求；</w:t>
      </w:r>
    </w:p>
    <w:p w14:paraId="0E0AA2B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（3）类型：蜗轮蜗杆手轮式蝶阀、手动压板式（含锁紧螺母或固定旋钮）、不锈钢球阀；</w:t>
      </w:r>
    </w:p>
    <w:p w14:paraId="09D4E1E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（4）压力等级：-2kPa；</w:t>
      </w:r>
    </w:p>
    <w:p w14:paraId="48777B68">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.1.2.3配件</w:t>
      </w:r>
    </w:p>
    <w:p w14:paraId="1C41F3B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（1）风管法兰：风管配套法兰为角法兰；</w:t>
      </w:r>
    </w:p>
    <w:p w14:paraId="4522D55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（2）风管法兰垫片：使用聚四氟乙烯材质；</w:t>
      </w:r>
    </w:p>
    <w:p w14:paraId="2CAD9E4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（3）接口规范</w:t>
      </w:r>
    </w:p>
    <w:p w14:paraId="77250EC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管路中应包含必要的转换接头，以完全符合Take off、等管道各端点的接口标准和大小。</w:t>
      </w:r>
    </w:p>
    <w:p w14:paraId="154C6678">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.1.3施工要求</w:t>
      </w:r>
    </w:p>
    <w:p w14:paraId="2A5CBC5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（1）风管预制切割后的翻边作业，必须使用专用的风管翻边机对风管两端进行处理，并安装角法兰。严禁通过重物敲击的方法进行翻边；</w:t>
      </w:r>
    </w:p>
    <w:p w14:paraId="01F47E1F">
      <w:pPr>
        <w:spacing w:line="360" w:lineRule="auto"/>
        <w:ind w:firstLine="495" w:firstLineChars="236"/>
        <w:rPr>
          <w:rFonts w:hint="eastAsia" w:ascii="宋体" w:hAnsi="宋体" w:cs="宋体"/>
          <w:color w:val="auto"/>
          <w:szCs w:val="21"/>
          <w:highlight w:val="none"/>
          <w:lang w:bidi="ar"/>
        </w:rPr>
      </w:pPr>
      <w:r>
        <w:rPr>
          <w:rFonts w:hint="eastAsia" w:ascii="宋体" w:hAnsi="宋体" w:cs="宋体"/>
          <w:color w:val="auto"/>
          <w:szCs w:val="21"/>
          <w:highlight w:val="none"/>
          <w:lang w:bidi="ar"/>
        </w:rPr>
        <w:t>（2）Take off阀门（管径、位置）的选用和管路敷设由施工方进行设计，最终由施工方根据现场情况综合考虑；</w:t>
      </w:r>
    </w:p>
    <w:p w14:paraId="7B09F2EA">
      <w:pPr>
        <w:spacing w:line="360" w:lineRule="auto"/>
        <w:ind w:firstLine="495" w:firstLineChars="236"/>
        <w:rPr>
          <w:rFonts w:hint="eastAsia" w:ascii="宋体" w:hAnsi="宋体" w:cs="宋体"/>
          <w:color w:val="auto"/>
          <w:szCs w:val="21"/>
          <w:highlight w:val="none"/>
          <w:woUserID w:val="1"/>
        </w:rPr>
      </w:pPr>
      <w:r>
        <w:rPr>
          <w:rFonts w:hint="eastAsia" w:ascii="宋体" w:hAnsi="宋体" w:cs="宋体"/>
          <w:color w:val="auto"/>
          <w:szCs w:val="21"/>
          <w:highlight w:val="none"/>
          <w:lang w:bidi="ar"/>
          <w:woUserID w:val="1"/>
        </w:rPr>
        <w:t>（</w:t>
      </w:r>
      <w:r>
        <w:rPr>
          <w:rFonts w:hint="eastAsia" w:ascii="宋体" w:hAnsi="宋体" w:cs="宋体"/>
          <w:color w:val="auto"/>
          <w:szCs w:val="21"/>
          <w:highlight w:val="none"/>
          <w:lang w:eastAsia="zh" w:bidi="ar"/>
          <w:woUserID w:val="1"/>
        </w:rPr>
        <w:t>3</w:t>
      </w:r>
      <w:r>
        <w:rPr>
          <w:rFonts w:hint="eastAsia" w:ascii="宋体" w:hAnsi="宋体" w:cs="宋体"/>
          <w:color w:val="auto"/>
          <w:szCs w:val="21"/>
          <w:highlight w:val="none"/>
          <w:lang w:bidi="ar"/>
          <w:woUserID w:val="1"/>
        </w:rPr>
        <w:t>）原则上，一台机台只能占用一个排气Take off点，由业主方最终核准。管路中应设置三通，以满足一个Take off点可同时供应机台侧多个需求；</w:t>
      </w:r>
    </w:p>
    <w:p w14:paraId="38BB76B5">
      <w:pPr>
        <w:spacing w:line="360" w:lineRule="auto"/>
        <w:ind w:firstLine="495" w:firstLineChars="236"/>
        <w:rPr>
          <w:rFonts w:hint="eastAsia" w:ascii="宋体" w:hAnsi="宋体" w:cs="宋体"/>
          <w:color w:val="auto"/>
          <w:szCs w:val="21"/>
          <w:highlight w:val="none"/>
          <w:woUserID w:val="1"/>
        </w:rPr>
      </w:pPr>
      <w:r>
        <w:rPr>
          <w:rFonts w:hint="eastAsia" w:ascii="宋体" w:hAnsi="宋体" w:cs="宋体"/>
          <w:color w:val="auto"/>
          <w:szCs w:val="21"/>
          <w:highlight w:val="none"/>
          <w:lang w:bidi="ar"/>
          <w:woUserID w:val="1"/>
        </w:rPr>
        <w:t>（</w:t>
      </w:r>
      <w:r>
        <w:rPr>
          <w:rFonts w:hint="eastAsia" w:ascii="宋体" w:hAnsi="宋体" w:cs="宋体"/>
          <w:color w:val="auto"/>
          <w:szCs w:val="21"/>
          <w:highlight w:val="none"/>
          <w:lang w:eastAsia="zh" w:bidi="ar"/>
          <w:woUserID w:val="1"/>
        </w:rPr>
        <w:t>4</w:t>
      </w:r>
      <w:r>
        <w:rPr>
          <w:rFonts w:hint="eastAsia" w:ascii="宋体" w:hAnsi="宋体" w:cs="宋体"/>
          <w:color w:val="auto"/>
          <w:szCs w:val="21"/>
          <w:highlight w:val="none"/>
          <w:lang w:bidi="ar"/>
          <w:woUserID w:val="1"/>
        </w:rPr>
        <w:t>）如Take off点口径的流量能力大于设备机台实际需求值，或Take off点为区域主管最后阀门，应按业主方要求在Take off点出口处加装三通后再行接续，三通后的接续口和预留口都必须加装手阀并挂牌。手阀规格参见本节阀门要求，由业主方最终核准；</w:t>
      </w:r>
    </w:p>
    <w:p w14:paraId="296F6AC8">
      <w:pPr>
        <w:spacing w:line="360" w:lineRule="auto"/>
        <w:ind w:firstLine="495" w:firstLineChars="236"/>
        <w:rPr>
          <w:rFonts w:hint="eastAsia" w:ascii="宋体" w:hAnsi="宋体" w:cs="宋体"/>
          <w:color w:val="auto"/>
          <w:szCs w:val="21"/>
          <w:highlight w:val="none"/>
          <w:woUserID w:val="1"/>
        </w:rPr>
      </w:pPr>
      <w:r>
        <w:rPr>
          <w:rFonts w:hint="eastAsia" w:ascii="宋体" w:hAnsi="宋体" w:cs="宋体"/>
          <w:color w:val="auto"/>
          <w:szCs w:val="21"/>
          <w:highlight w:val="none"/>
          <w:lang w:bidi="ar"/>
          <w:woUserID w:val="1"/>
        </w:rPr>
        <w:t>（</w:t>
      </w:r>
      <w:r>
        <w:rPr>
          <w:rFonts w:hint="eastAsia" w:ascii="宋体" w:hAnsi="宋体" w:cs="宋体"/>
          <w:color w:val="auto"/>
          <w:szCs w:val="21"/>
          <w:highlight w:val="none"/>
          <w:lang w:eastAsia="zh" w:bidi="ar"/>
          <w:woUserID w:val="1"/>
        </w:rPr>
        <w:t>5</w:t>
      </w:r>
      <w:r>
        <w:rPr>
          <w:rFonts w:hint="eastAsia" w:ascii="宋体" w:hAnsi="宋体" w:cs="宋体"/>
          <w:color w:val="auto"/>
          <w:szCs w:val="21"/>
          <w:highlight w:val="none"/>
          <w:lang w:bidi="ar"/>
          <w:woUserID w:val="1"/>
        </w:rPr>
        <w:t>）洁净室机台的上方排气，应首先在吊顶下设置排气集管，将机台排气接入集管后，再从集管接排气管穿吊顶接入上方的排气区域主管。排气集管应充分考虑同时满足减少洁净室吊顶开孔数和满足洁净室区域美观的要求，原则上每4～5台位置相近的设备共用一根集管、每根集管管径在Φ350~Φ700之间，由施工方设计并提供风量计算，业主方核准；</w:t>
      </w:r>
    </w:p>
    <w:p w14:paraId="0A221CFE">
      <w:pPr>
        <w:spacing w:line="360" w:lineRule="auto"/>
        <w:ind w:firstLine="495" w:firstLineChars="236"/>
        <w:rPr>
          <w:rFonts w:hint="eastAsia"/>
          <w:color w:val="auto"/>
          <w:highlight w:val="none"/>
        </w:rPr>
      </w:pPr>
      <w:r>
        <w:rPr>
          <w:rFonts w:hint="eastAsia" w:ascii="宋体" w:hAnsi="宋体" w:cs="宋体"/>
          <w:color w:val="auto"/>
          <w:szCs w:val="21"/>
          <w:highlight w:val="none"/>
          <w:lang w:bidi="ar"/>
          <w:woUserID w:val="1"/>
        </w:rPr>
        <w:t>（</w:t>
      </w:r>
      <w:r>
        <w:rPr>
          <w:rFonts w:hint="eastAsia" w:ascii="宋体" w:hAnsi="宋体" w:cs="宋体"/>
          <w:color w:val="auto"/>
          <w:szCs w:val="21"/>
          <w:highlight w:val="none"/>
          <w:lang w:eastAsia="zh" w:bidi="ar"/>
          <w:woUserID w:val="1"/>
        </w:rPr>
        <w:t>6</w:t>
      </w:r>
      <w:r>
        <w:rPr>
          <w:rFonts w:hint="eastAsia" w:ascii="宋体" w:hAnsi="宋体" w:cs="宋体"/>
          <w:color w:val="auto"/>
          <w:szCs w:val="21"/>
          <w:highlight w:val="none"/>
          <w:lang w:bidi="ar"/>
          <w:woUserID w:val="1"/>
        </w:rPr>
        <w:t>）风管管路敷设需采用1.5D弯头，业主方因现场实际情况特殊需求除外；不得使用大于90度的弯头；</w:t>
      </w:r>
    </w:p>
    <w:p w14:paraId="077C531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woUserID w:val="1"/>
        </w:rPr>
        <w:t>7</w:t>
      </w:r>
      <w:r>
        <w:rPr>
          <w:rFonts w:hint="eastAsia" w:ascii="宋体" w:hAnsi="宋体" w:cs="宋体"/>
          <w:color w:val="auto"/>
          <w:szCs w:val="21"/>
          <w:highlight w:val="none"/>
          <w:lang w:bidi="ar"/>
        </w:rPr>
        <w:t>）包括但不限于化学机械磨抛机CMP、氧化扩散炉、IBE刻蚀机等设备的风管侧需依设备特性加装风管排液装置；</w:t>
      </w:r>
    </w:p>
    <w:p w14:paraId="332AC46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woUserID w:val="1"/>
        </w:rPr>
        <w:t>8</w:t>
      </w:r>
      <w:r>
        <w:rPr>
          <w:rFonts w:hint="eastAsia" w:ascii="宋体" w:hAnsi="宋体" w:cs="宋体"/>
          <w:color w:val="auto"/>
          <w:szCs w:val="21"/>
          <w:highlight w:val="none"/>
          <w:lang w:bidi="ar"/>
        </w:rPr>
        <w:t>）Pump、Local scrubber等设备的风管接口处需安装不锈钢Bellow管。</w:t>
      </w:r>
    </w:p>
    <w:p w14:paraId="2F60726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woUserID w:val="1"/>
        </w:rPr>
        <w:t>9</w:t>
      </w:r>
      <w:r>
        <w:rPr>
          <w:rFonts w:hint="eastAsia" w:ascii="宋体" w:hAnsi="宋体" w:cs="宋体"/>
          <w:color w:val="auto"/>
          <w:szCs w:val="21"/>
          <w:highlight w:val="none"/>
          <w:lang w:bidi="ar"/>
        </w:rPr>
        <w:t>）支吊架、防护、标签与警示</w:t>
      </w:r>
    </w:p>
    <w:p w14:paraId="0573851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施工时按国家规范和业主方要求做好标识、防护、警示。</w:t>
      </w:r>
    </w:p>
    <w:p w14:paraId="316283D1">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 xml:space="preserve">.2 </w:t>
      </w:r>
      <w:r>
        <w:rPr>
          <w:rFonts w:hint="eastAsia" w:ascii="宋体" w:hAnsi="宋体" w:cs="宋体"/>
          <w:color w:val="auto"/>
          <w:szCs w:val="21"/>
          <w:highlight w:val="none"/>
          <w:lang w:eastAsia="zh" w:bidi="ar"/>
          <w:woUserID w:val="1"/>
        </w:rPr>
        <w:t xml:space="preserve"> Exhaust一VEX</w:t>
      </w:r>
      <w:r>
        <w:rPr>
          <w:rFonts w:hint="eastAsia" w:ascii="宋体" w:hAnsi="宋体" w:cs="宋体"/>
          <w:color w:val="auto"/>
          <w:szCs w:val="21"/>
          <w:highlight w:val="none"/>
          <w:lang w:bidi="ar"/>
        </w:rPr>
        <w:t>（有机排气）</w:t>
      </w:r>
    </w:p>
    <w:p w14:paraId="1DE5FD51">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.2.1界面点</w:t>
      </w:r>
    </w:p>
    <w:p w14:paraId="66A66AEF">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.2.1.1管路</w:t>
      </w:r>
    </w:p>
    <w:p w14:paraId="2F25886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（1）从动力侧一次主管Take off点接至设备机台有机排气各接口；</w:t>
      </w:r>
    </w:p>
    <w:p w14:paraId="6EEE108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（2）配管沿途以及各端的接头、三通、转换头和连接件（包含但不限于端子/法兰/PTFE垫片/不锈钢螺杆等）；</w:t>
      </w:r>
    </w:p>
    <w:p w14:paraId="58DCD2C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（3）配管方式及线路由施工方综合考虑并符合规范和使用要求；</w:t>
      </w:r>
    </w:p>
    <w:p w14:paraId="5871E906">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.2.1.2附件</w:t>
      </w:r>
    </w:p>
    <w:p w14:paraId="5E9C451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风管从设备机台每个排气接口引出时，施工方必须提供并安装不小于设备机台接口口径的手动挡板蝶阀（无毒气体）/不锈钢球阀（有毒气体）一个。手阀应安装于适当位置，由施工方综合考虑并符合规范和观感要求；</w:t>
      </w:r>
    </w:p>
    <w:p w14:paraId="3840F9A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（2）风管从设备机台排气接口引出时，施工方需安装负压表（量程为-1000Pa)。负压表应安装于便于观察的位置，由施工方综合考虑并符合使用要求；</w:t>
      </w:r>
    </w:p>
    <w:p w14:paraId="2D101D5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（3）应在风管上安装观察孔、采样口等附件；</w:t>
      </w:r>
    </w:p>
    <w:p w14:paraId="1F39212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测试点位的设置方法为：在风管直管中加装一个三通，三通的横向引出端装一块盲板，盲板上按需开孔，并按要求安装相应附件（包括但不限于GDS系统采样点接头、负压表采样点等）。根据附件点位的位置和数量，某些机台的风管上需要同时设置多处/多个这样的三通以供安装附件；</w:t>
      </w:r>
    </w:p>
    <w:p w14:paraId="5C63BA2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（5）施工方应在风管适当位置处配置排液接口、排液手阀、排液管路并引至业主方指定的排液收集口，每条排液通径上应不少于两个排液手阀；</w:t>
      </w:r>
    </w:p>
    <w:p w14:paraId="3395DD3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（6）施工方应将管道附件（包括但不限于静压表、增压风机等）串接安装于风管管路上，</w:t>
      </w:r>
      <w:r>
        <w:rPr>
          <w:rFonts w:hint="eastAsia" w:ascii="宋体" w:hAnsi="宋体" w:cs="宋体"/>
          <w:strike w:val="0"/>
          <w:dstrike w:val="0"/>
          <w:color w:val="auto"/>
          <w:szCs w:val="21"/>
          <w:highlight w:val="none"/>
          <w:lang w:eastAsia="zh" w:bidi="ar"/>
          <w:woUserID w:val="2"/>
        </w:rPr>
        <w:t>并</w:t>
      </w:r>
      <w:r>
        <w:rPr>
          <w:rFonts w:hint="eastAsia" w:ascii="宋体" w:hAnsi="宋体" w:cs="宋体"/>
          <w:color w:val="auto"/>
          <w:szCs w:val="21"/>
          <w:highlight w:val="none"/>
          <w:lang w:bidi="ar"/>
        </w:rPr>
        <w:t>为该类附件提供接头/转接头、变径、安装支吊架、安装防护。</w:t>
      </w:r>
    </w:p>
    <w:p w14:paraId="56CFFA61">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.2.2材料要求</w:t>
      </w:r>
    </w:p>
    <w:p w14:paraId="624C8B6C">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.2.2.1风管（含Fitting、Tee等各类管配件）</w:t>
      </w:r>
    </w:p>
    <w:p w14:paraId="7709101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（1）材质：</w:t>
      </w:r>
    </w:p>
    <w:p w14:paraId="3F684B2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 SUS304焊接风管</w:t>
      </w:r>
      <w:r>
        <w:rPr>
          <w:rFonts w:hint="eastAsia" w:ascii="宋体" w:hAnsi="宋体" w:cs="宋体"/>
          <w:color w:val="auto"/>
          <w:szCs w:val="21"/>
          <w:highlight w:val="none"/>
          <w:lang w:eastAsia="zh" w:bidi="ar"/>
          <w:woUserID w:val="1"/>
        </w:rPr>
        <w:t>，管材厚度按照《通凤与空调工程施工质量验收规范》高压系统确认</w:t>
      </w:r>
      <w:r>
        <w:rPr>
          <w:rFonts w:hint="eastAsia" w:ascii="宋体" w:hAnsi="宋体" w:cs="宋体"/>
          <w:color w:val="auto"/>
          <w:szCs w:val="21"/>
          <w:highlight w:val="none"/>
          <w:lang w:bidi="ar"/>
        </w:rPr>
        <w:t>。</w:t>
      </w:r>
    </w:p>
    <w:p w14:paraId="0466FC8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（2）管径参考标准：</w:t>
      </w:r>
    </w:p>
    <w:p w14:paraId="1700383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设备最大用量下满足流速＜6m/s，同时管径不小于设备进出接口口径。如配管工事管径大于设备进出接口口径，管道应在距离设备进出接口1米范围内且在施工方提供的控制手阀之后，方可变径为设备接口对应的口径。由施工方综合考虑并符合规范和使用要求。</w:t>
      </w:r>
    </w:p>
    <w:p w14:paraId="4C6DDB9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（3）连接方式：</w:t>
      </w:r>
    </w:p>
    <w:p w14:paraId="1F598C2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 风管法兰连接；</w:t>
      </w:r>
    </w:p>
    <w:p w14:paraId="4649BB9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 每根风管引出后，应在靠近设备机台接口处和距离约2～3米远处各设置一个法兰或相同作用（可多次无损拆装）的连接形式，并配置适当的支吊架，便于日后运行中局部风管的拆卸清扫；</w:t>
      </w:r>
    </w:p>
    <w:p w14:paraId="72204E6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 机台与风管的连接应使用硬管连接。如有特殊情况需使用软管的，必须由业主方许可后方可使用。若使用软管+承插方式连接，则软管靠近机台的一端必须加装固定支架，以防脱落；</w:t>
      </w:r>
    </w:p>
    <w:p w14:paraId="25AE323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 风管与机台接口的连接方式：若使用KF接口的Bellow管，则Bellow管的长度应不低于25cm；</w:t>
      </w:r>
    </w:p>
    <w:p w14:paraId="51A53421">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.2.2.2风阀</w:t>
      </w:r>
    </w:p>
    <w:p w14:paraId="349F7F0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（1）材质：SUS304，带固定螺帽或固定旋钮；</w:t>
      </w:r>
    </w:p>
    <w:p w14:paraId="7B1E36E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（2）口径：参照风管口径要求；</w:t>
      </w:r>
    </w:p>
    <w:p w14:paraId="3749A92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（3）类型：蜗杆式；</w:t>
      </w:r>
    </w:p>
    <w:p w14:paraId="32D131A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（4）压力等级：-2kPa；</w:t>
      </w:r>
    </w:p>
    <w:p w14:paraId="1E552A32">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.2.2.3配件</w:t>
      </w:r>
    </w:p>
    <w:p w14:paraId="6B80B77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（1）法兰垫片：使用聚四氟乙烯材质；</w:t>
      </w:r>
    </w:p>
    <w:p w14:paraId="55B7913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（2）接口规范</w:t>
      </w:r>
      <w:r>
        <w:rPr>
          <w:rFonts w:hint="eastAsia" w:ascii="宋体" w:hAnsi="宋体" w:cs="宋体"/>
          <w:color w:val="auto"/>
          <w:szCs w:val="21"/>
          <w:highlight w:val="none"/>
          <w:lang w:eastAsia="zh" w:bidi="ar"/>
          <w:woUserID w:val="1"/>
        </w:rPr>
        <w:t>：</w:t>
      </w:r>
      <w:r>
        <w:rPr>
          <w:rFonts w:hint="eastAsia" w:ascii="宋体" w:hAnsi="宋体" w:cs="宋体"/>
          <w:color w:val="auto"/>
          <w:szCs w:val="21"/>
          <w:highlight w:val="none"/>
          <w:lang w:bidi="ar"/>
        </w:rPr>
        <w:t>管路中应包含必要的转换接头，以完全符合Take off、等管道各端点的接口标准和大小；</w:t>
      </w:r>
    </w:p>
    <w:p w14:paraId="384C6F7E">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.2.3施工要求</w:t>
      </w:r>
    </w:p>
    <w:p w14:paraId="00D95F5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（1）使用的Take off点位置由施工方根据现场情况综合考虑；</w:t>
      </w:r>
    </w:p>
    <w:p w14:paraId="57E2DBA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（2）原则上，一台机台只能占用一个排气Take off点，由业主方最终核准。管路中应设置三通，以满足一个Take off点可同时供应机台侧多个需求；</w:t>
      </w:r>
    </w:p>
    <w:p w14:paraId="397F93E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（3）如Take off点口径的流量能力大于设备机台实际需求值，或Take off点为区域主管最后阀门，应按业主方要求在Take off点出口处加装三通后再行接续，三通后的接续口和预留口都必须加装手阀并挂牌。手阀规格参见本节阀门要求，由业主方最终核准；</w:t>
      </w:r>
    </w:p>
    <w:p w14:paraId="2600F45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洁净室机台的上方排气，应首先在吊顶下设置排气集管，将机台排气接入集管后，再从集管接排气管穿吊顶接入上方的排气区域主管。排气集管应充分考虑同时满足减少洁净室吊顶开孔数和满足洁净室区域美观的要求，原则上每4～5台位置相近的设备共用一根集管、每根集管管径在Φ350~Φ700之间，由施工方设计并提供风量计算，业主方核准；</w:t>
      </w:r>
    </w:p>
    <w:p w14:paraId="2F02723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（5）风管管路敷设需采用1.5D弯头，业主方因现场实际情况特殊需求除外；不得使用大于90度的弯头；</w:t>
      </w:r>
    </w:p>
    <w:p w14:paraId="586817A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（6）支吊架、防护、标签与警示</w:t>
      </w:r>
    </w:p>
    <w:p w14:paraId="5720652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施工时按国家规范和业主方要求做好标识、防护、警示。</w:t>
      </w:r>
    </w:p>
    <w:p w14:paraId="6FE6F931">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.3 Exhaust－GEX（一般/热排气）</w:t>
      </w:r>
    </w:p>
    <w:p w14:paraId="47ACDAB5">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.3.1界面点：</w:t>
      </w:r>
    </w:p>
    <w:p w14:paraId="6513D530">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.3.1.1管路</w:t>
      </w:r>
    </w:p>
    <w:p w14:paraId="54801558">
      <w:pPr>
        <w:numPr>
          <w:ilvl w:val="0"/>
          <w:numId w:val="8"/>
        </w:num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从动力侧一次主管Take off点接至设备机台一般/热排气各接口；</w:t>
      </w:r>
    </w:p>
    <w:p w14:paraId="048AB396">
      <w:pPr>
        <w:numPr>
          <w:ilvl w:val="0"/>
          <w:numId w:val="8"/>
        </w:num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配管沿途以及各端的接头、三通、转换头和连接件（包含但不限于端子/法兰/PTFE垫片/不锈钢螺杆等）；</w:t>
      </w:r>
    </w:p>
    <w:p w14:paraId="05107C6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（3）配管方式及线路由施工方综合考虑并符合规范和使用要求；</w:t>
      </w:r>
    </w:p>
    <w:p w14:paraId="2748C34E">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.2.1.2附件</w:t>
      </w:r>
    </w:p>
    <w:p w14:paraId="19B36C1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（1）风管从设备机台每个排气接口引出时，施工方必须提供并安装不小于设备机台接口口径的手动挡板蝶阀一个。手阀应安装于适当位置，由施工方综合考虑并符合规范和观感要求；</w:t>
      </w:r>
    </w:p>
    <w:p w14:paraId="0AB71D4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（2）风管从设备机台排气接口引出时，施工方需安装负压表（量程为-1000Pa)。负压表应安装于便于观察的位置，由施工方综合考虑并符合使用要求；</w:t>
      </w:r>
    </w:p>
    <w:p w14:paraId="2037EAD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（3）施工方应在风管上安装观察孔、采样口等附件；</w:t>
      </w:r>
    </w:p>
    <w:p w14:paraId="4AF50FF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测试点位的设置方法为：在风管直管中加装一个三通，三通的横向引出端装一块盲板，盲板上按需开孔，并按要求安装相应附件（包括但不限于GDS系统采样点接头、负压表采样点等）。根据附件点位的位置和数量，某些机台的风管上需要同时设置多处/多个这样的三通以供安装附件；</w:t>
      </w:r>
    </w:p>
    <w:p w14:paraId="15F732E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（5）施工方应在风管适当位置处配置排液接口、排液手阀、排液管路并引至业主方指定的排液收集口，每条排液通径上应不少于两个排液手阀；</w:t>
      </w:r>
    </w:p>
    <w:p w14:paraId="7516AEF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（6）施工方应将管道附件（包括但不限于静压表、增压风机等）串接安装于风管管路上，并为该类附件提供接头/转接头、变径、安装支吊架、安装防护、接续动力。</w:t>
      </w:r>
    </w:p>
    <w:p w14:paraId="4E0CBCA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.3.2材料要求</w:t>
      </w:r>
    </w:p>
    <w:p w14:paraId="313DFFE3">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.3.2.1风管（含Fitting、Tee等各类管配件）</w:t>
      </w:r>
    </w:p>
    <w:p w14:paraId="6A68989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（1）材质：</w:t>
      </w:r>
    </w:p>
    <w:p w14:paraId="57948F71">
      <w:p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一般排气风管在吊顶区域内使用金属热镀锌材质风管，管道间铁氟龙胶条密封，法兰螺栓选用镀锌钢螺栓，并且在适当位置留有检测口。镀锌材质管道管壁厚度不低于0.8mm，吊顶以下区域采用PVC管材，热熔连接，并且在适当位置留有检测口；</w:t>
      </w:r>
    </w:p>
    <w:p w14:paraId="502361B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（2）管径参考标准：</w:t>
      </w:r>
    </w:p>
    <w:p w14:paraId="39DFBD5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设备最大用量下满足流速＜6m/s，同时管径不小于设备进出接口口径。如配管工事管径大于设备进出接口口径，管道应在距离设备进出接口1米范围内且在施工方提供的控制手阀之后，方可变径为设备接口对应的口径。以上由业主方最终核准。</w:t>
      </w:r>
    </w:p>
    <w:p w14:paraId="5CE15C8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（3）连接方式：</w:t>
      </w:r>
    </w:p>
    <w:p w14:paraId="0758FBB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A.风管法兰连接。</w:t>
      </w:r>
    </w:p>
    <w:p w14:paraId="10152EA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B.每根风管引出后，应在靠近设备机台接口处和距离约2～3米远处各设置一个法兰或相同作用（可无损拆接）的连接形式，并配置适当的支吊架，便于日后运行中局部风管的拆卸清扫。</w:t>
      </w:r>
    </w:p>
    <w:p w14:paraId="33922E9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C.机台与风管的连接应使用硬管连接。如有特殊情况需使用软管的，必须由业主方许可后方可使用。若使用软管+承插方式连接，则软管靠近机台的一端必须加装固定支架，以防脱落。</w:t>
      </w:r>
    </w:p>
    <w:p w14:paraId="654DD03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D.风管与机台接口的连接方式：若使用KF接口的Bellow管，则Bellow管的长度应不低于25cm。</w:t>
      </w:r>
    </w:p>
    <w:p w14:paraId="630B09F6">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.3.2.2风阀</w:t>
      </w:r>
    </w:p>
    <w:p w14:paraId="0489611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（1）材质：金属热镀锌，带固定螺帽或固定旋钮；</w:t>
      </w:r>
    </w:p>
    <w:p w14:paraId="6DAE0B4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（2）口径：参照风管口径要求；</w:t>
      </w:r>
    </w:p>
    <w:p w14:paraId="7416928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（3）类型：蜗杆式；</w:t>
      </w:r>
    </w:p>
    <w:p w14:paraId="7B1E472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（4）压力等级：-2kPa；</w:t>
      </w:r>
    </w:p>
    <w:p w14:paraId="67407066">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.3.2.3配件</w:t>
      </w:r>
    </w:p>
    <w:p w14:paraId="57E318B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法兰垫片：使用聚四氟乙烯材质；</w:t>
      </w:r>
    </w:p>
    <w:p w14:paraId="7CC0F0DC">
      <w:pPr>
        <w:spacing w:line="360" w:lineRule="auto"/>
        <w:ind w:firstLine="495" w:firstLineChars="236"/>
        <w:outlineLvl w:val="6"/>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.3.2.4接口规范</w:t>
      </w:r>
    </w:p>
    <w:p w14:paraId="243944C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管路中应包含必要的转换接头，以完全符合Take off、等管道各端点的接口标准和大小。</w:t>
      </w:r>
    </w:p>
    <w:p w14:paraId="7FED114A">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7</w:t>
      </w:r>
      <w:r>
        <w:rPr>
          <w:rFonts w:hint="eastAsia" w:ascii="宋体" w:hAnsi="宋体" w:cs="宋体"/>
          <w:color w:val="auto"/>
          <w:szCs w:val="21"/>
          <w:highlight w:val="none"/>
          <w:lang w:bidi="ar"/>
        </w:rPr>
        <w:t>.3.3施工要求</w:t>
      </w:r>
    </w:p>
    <w:p w14:paraId="19FF9FB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（1）使用的Take off点位置由施工方根据现场情况综合考虑。</w:t>
      </w:r>
    </w:p>
    <w:p w14:paraId="7F2B9EC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（2）原则上，一台机台只能占用一个排气Take off点，由业主方最终核准。管路中应设置三通，以满足一个Take off点可同时供应机台侧多个需求。</w:t>
      </w:r>
    </w:p>
    <w:p w14:paraId="59D491D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（3）如Take off点口径的流量能力大于设备机台实际需求值，或Take off点为区域主管最后阀门，应按业主方要求在Take off点出口处加装三通后再行接续，三通后的接续口和预留口都必须加装手阀并挂牌。手阀规格参见本节阀门要求，由业主方最终核准。</w:t>
      </w:r>
    </w:p>
    <w:p w14:paraId="495123D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洁净室机台的上方排气，应首先在吊顶下设置排气集管，将机台排气接入集管后，再从集管接排气管穿吊顶接入上方的排气区域主管。排气集管应充分考虑同时满足减少洁净室吊顶开孔数和满足洁净室区域美观的要求，原则上每4～5台位置相近的设备共用一根集管、每根集管管径在Φ350~Φ700之间，施工方设计并提供风量计算，由施工方根据现场情况综合考虑。</w:t>
      </w:r>
    </w:p>
    <w:p w14:paraId="5E30F40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（5）弯头中心线半径应不小于管道直径的1.5倍。不可使用大于90度的弯头。</w:t>
      </w:r>
    </w:p>
    <w:p w14:paraId="70EF092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（6）支吊架、防护、标签与警示</w:t>
      </w:r>
    </w:p>
    <w:p w14:paraId="3A0BFC4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（7）按国家规范和业主方要求做好标识、防护、警示。</w:t>
      </w:r>
    </w:p>
    <w:p w14:paraId="6C30AEE2">
      <w:pPr>
        <w:spacing w:line="360" w:lineRule="auto"/>
        <w:ind w:firstLine="498" w:firstLineChars="236"/>
        <w:outlineLvl w:val="3"/>
        <w:rPr>
          <w:rFonts w:hint="eastAsia"/>
          <w:color w:val="auto"/>
          <w:highlight w:val="none"/>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.8工艺排水与排液二次配</w:t>
      </w:r>
    </w:p>
    <w:p w14:paraId="2E946F80">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.1界面点</w:t>
      </w:r>
    </w:p>
    <w:p w14:paraId="7BB0B007">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.1.1排水管</w:t>
      </w:r>
    </w:p>
    <w:p w14:paraId="383638C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（1）从设备机台Drain各接口接至动力侧一次主管Take off点；</w:t>
      </w:r>
    </w:p>
    <w:p w14:paraId="7031150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（2）从设备机台（Pump出口带压）Drain各接口接至动力侧一次主管Take off点；</w:t>
      </w:r>
    </w:p>
    <w:p w14:paraId="018C228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（3）配管沿途以及各端的接头、三通、转换头和连接件（包含但不限于端子/法兰/PTFE垫片/不锈钢螺杆等）；</w:t>
      </w:r>
    </w:p>
    <w:p w14:paraId="711F609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（4）配管方式及线路由施工方根据现场情况综合考虑。</w:t>
      </w:r>
    </w:p>
    <w:p w14:paraId="79CE059C">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.1.2附件</w:t>
      </w:r>
    </w:p>
    <w:p w14:paraId="30E23C4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（1）从设备机台（Pump出口带压）Drain接口引出的排水管，应在接口处安装减震软接头，应在竖直管上安装单向截止阀，单向阀后（动力Take off侧）须加装手阀一个；</w:t>
      </w:r>
    </w:p>
    <w:p w14:paraId="6E9DB62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（2）部分设备机台排水管中需设置U型或P型存水弯；</w:t>
      </w:r>
    </w:p>
    <w:p w14:paraId="5A6CFDC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（3）施工方应将管道附件（包括但不限于过滤器、压力表、流量计、集水槽等）串接安装于配管管路上，并为该类附件提供接头/转接头、变径、安装支吊架、安装防护、接续动力。</w:t>
      </w:r>
    </w:p>
    <w:p w14:paraId="4F34A7AF">
      <w:pPr>
        <w:spacing w:line="360" w:lineRule="auto"/>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.2材料要求</w:t>
      </w:r>
    </w:p>
    <w:tbl>
      <w:tblPr>
        <w:tblStyle w:val="27"/>
        <w:tblW w:w="5000" w:type="pct"/>
        <w:jc w:val="center"/>
        <w:tblLayout w:type="autofit"/>
        <w:tblCellMar>
          <w:top w:w="0" w:type="dxa"/>
          <w:left w:w="108" w:type="dxa"/>
          <w:bottom w:w="0" w:type="dxa"/>
          <w:right w:w="108" w:type="dxa"/>
        </w:tblCellMar>
      </w:tblPr>
      <w:tblGrid>
        <w:gridCol w:w="873"/>
        <w:gridCol w:w="3681"/>
        <w:gridCol w:w="4707"/>
      </w:tblGrid>
      <w:tr w14:paraId="7E45A7C2">
        <w:tblPrEx>
          <w:tblCellMar>
            <w:top w:w="0" w:type="dxa"/>
            <w:left w:w="108" w:type="dxa"/>
            <w:bottom w:w="0" w:type="dxa"/>
            <w:right w:w="108" w:type="dxa"/>
          </w:tblCellMar>
        </w:tblPrEx>
        <w:trPr>
          <w:trHeight w:val="444"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C1806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1987" w:type="pct"/>
            <w:tcBorders>
              <w:top w:val="single" w:color="auto" w:sz="4" w:space="0"/>
              <w:left w:val="nil"/>
              <w:bottom w:val="single" w:color="auto" w:sz="4" w:space="0"/>
              <w:right w:val="single" w:color="auto" w:sz="4" w:space="0"/>
            </w:tcBorders>
            <w:shd w:val="clear" w:color="auto" w:fill="FFFFFF"/>
            <w:noWrap/>
            <w:vAlign w:val="center"/>
          </w:tcPr>
          <w:p w14:paraId="7032D6E8">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排水种类</w:t>
            </w:r>
          </w:p>
        </w:tc>
        <w:tc>
          <w:tcPr>
            <w:tcW w:w="2541" w:type="pct"/>
            <w:tcBorders>
              <w:top w:val="single" w:color="auto" w:sz="4" w:space="0"/>
              <w:left w:val="nil"/>
              <w:bottom w:val="single" w:color="auto" w:sz="4" w:space="0"/>
              <w:right w:val="single" w:color="auto" w:sz="4" w:space="0"/>
            </w:tcBorders>
            <w:shd w:val="clear" w:color="auto" w:fill="FFFFFF"/>
            <w:noWrap/>
            <w:vAlign w:val="center"/>
          </w:tcPr>
          <w:p w14:paraId="48568AAB">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管道材质</w:t>
            </w:r>
          </w:p>
        </w:tc>
      </w:tr>
      <w:tr w14:paraId="7CE3227C">
        <w:tblPrEx>
          <w:tblCellMar>
            <w:top w:w="0" w:type="dxa"/>
            <w:left w:w="108" w:type="dxa"/>
            <w:bottom w:w="0" w:type="dxa"/>
            <w:right w:w="108" w:type="dxa"/>
          </w:tblCellMar>
        </w:tblPrEx>
        <w:trPr>
          <w:trHeight w:val="300" w:hRule="atLeast"/>
          <w:jc w:val="center"/>
        </w:trPr>
        <w:tc>
          <w:tcPr>
            <w:tcW w:w="471" w:type="pct"/>
            <w:tcBorders>
              <w:top w:val="nil"/>
              <w:left w:val="single" w:color="auto" w:sz="4" w:space="0"/>
              <w:bottom w:val="nil"/>
              <w:right w:val="single" w:color="auto" w:sz="4" w:space="0"/>
            </w:tcBorders>
            <w:noWrap/>
            <w:vAlign w:val="center"/>
          </w:tcPr>
          <w:p w14:paraId="55E75EF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987" w:type="pct"/>
            <w:tcBorders>
              <w:top w:val="nil"/>
              <w:left w:val="nil"/>
              <w:bottom w:val="nil"/>
              <w:right w:val="single" w:color="auto" w:sz="4" w:space="0"/>
            </w:tcBorders>
            <w:noWrap/>
            <w:vAlign w:val="center"/>
          </w:tcPr>
          <w:p w14:paraId="3290EF1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酸碱、研磨、含砷废水等系统</w:t>
            </w:r>
          </w:p>
        </w:tc>
        <w:tc>
          <w:tcPr>
            <w:tcW w:w="2541" w:type="pct"/>
            <w:tcBorders>
              <w:top w:val="nil"/>
              <w:left w:val="nil"/>
              <w:bottom w:val="nil"/>
              <w:right w:val="single" w:color="auto" w:sz="4" w:space="0"/>
            </w:tcBorders>
            <w:noWrap/>
            <w:vAlign w:val="center"/>
          </w:tcPr>
          <w:p w14:paraId="0133C0ED">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UPVC SCH80粘接</w:t>
            </w:r>
          </w:p>
        </w:tc>
      </w:tr>
      <w:tr w14:paraId="51994B17">
        <w:tblPrEx>
          <w:tblCellMar>
            <w:top w:w="0" w:type="dxa"/>
            <w:left w:w="108" w:type="dxa"/>
            <w:bottom w:w="0" w:type="dxa"/>
            <w:right w:w="108" w:type="dxa"/>
          </w:tblCellMar>
        </w:tblPrEx>
        <w:trPr>
          <w:trHeight w:val="300" w:hRule="atLeast"/>
          <w:jc w:val="center"/>
        </w:trPr>
        <w:tc>
          <w:tcPr>
            <w:tcW w:w="471" w:type="pct"/>
            <w:tcBorders>
              <w:top w:val="nil"/>
              <w:left w:val="single" w:color="auto" w:sz="4" w:space="0"/>
              <w:bottom w:val="single" w:color="auto" w:sz="4" w:space="0"/>
              <w:right w:val="single" w:color="auto" w:sz="4" w:space="0"/>
            </w:tcBorders>
            <w:noWrap/>
            <w:vAlign w:val="center"/>
          </w:tcPr>
          <w:p w14:paraId="60AD98A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1987" w:type="pct"/>
            <w:tcBorders>
              <w:top w:val="nil"/>
              <w:left w:val="nil"/>
              <w:bottom w:val="single" w:color="auto" w:sz="4" w:space="0"/>
              <w:right w:val="single" w:color="auto" w:sz="4" w:space="0"/>
            </w:tcBorders>
            <w:noWrap/>
            <w:vAlign w:val="center"/>
          </w:tcPr>
          <w:p w14:paraId="14CFEB67">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有机废水系统</w:t>
            </w:r>
          </w:p>
        </w:tc>
        <w:tc>
          <w:tcPr>
            <w:tcW w:w="2541" w:type="pct"/>
            <w:tcBorders>
              <w:top w:val="nil"/>
              <w:left w:val="nil"/>
              <w:bottom w:val="single" w:color="auto" w:sz="4" w:space="0"/>
              <w:right w:val="single" w:color="auto" w:sz="4" w:space="0"/>
            </w:tcBorders>
            <w:noWrap/>
            <w:vAlign w:val="center"/>
          </w:tcPr>
          <w:p w14:paraId="38F865A4">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SUS304 10S氩弧焊接</w:t>
            </w:r>
          </w:p>
        </w:tc>
      </w:tr>
    </w:tbl>
    <w:p w14:paraId="5AB34546">
      <w:pPr>
        <w:spacing w:line="360" w:lineRule="auto"/>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.3施工要求</w:t>
      </w:r>
    </w:p>
    <w:p w14:paraId="0156441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.3.1排水管径（含Fitting）</w:t>
      </w:r>
    </w:p>
    <w:p w14:paraId="3DD0560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（1）不小于设备接口管径；</w:t>
      </w:r>
    </w:p>
    <w:p w14:paraId="126929C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（2）如Take off点口径小于设备接口管径，应以设备接口管径为标准进行排管，在区域主管或主管上开孔、焊接后接入；</w:t>
      </w:r>
    </w:p>
    <w:p w14:paraId="6B47EBE1">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.3.2水平敷设的管道，铺设斜率应不小于0.3%，由施工方综合考虑并符合使用要求；</w:t>
      </w:r>
    </w:p>
    <w:p w14:paraId="56FEDF0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.3.3从设备（Pump出口带压）Drain接口引出的排水管，除应在接口、竖直管上安装减震软接头、单向截止阀、手阀外，管道应上行至高于动力侧排水一次主管Take off点后，下翻接入Take off点；</w:t>
      </w:r>
    </w:p>
    <w:p w14:paraId="6F6D9DCB">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.3.4所有排水接口需使用相应的专用工具焊接或锁紧；</w:t>
      </w:r>
    </w:p>
    <w:p w14:paraId="1BDB42B5">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.3.5所有的废水管路需要配套足够的支吊架，支吊架具备有效的避免管路震动，U型卡需要配套使用橡胶等保护性皮套以保护管路；</w:t>
      </w:r>
    </w:p>
    <w:p w14:paraId="1180D5D9">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.3.6每台设备使用单独的take off阀门，禁止多台设备共用一个take off阀门；</w:t>
      </w:r>
    </w:p>
    <w:p w14:paraId="3F80D94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.3.7高温水洗式Local Scrubber的排水管近机台侧需加装止回阀；</w:t>
      </w:r>
    </w:p>
    <w:p w14:paraId="4B86C15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3.8所有废水排水管路PP材质的，均需要使用自动焊机进行管路连接，除非在自动焊接无法使用的位置，需要得到业主方许可后才能使用铁板或热风枪焊接，自动焊接操作人员需要提供相应的操作证书，管路焊口需要张贴标签，如焊接人员信息、焊接时间等；</w:t>
      </w:r>
    </w:p>
    <w:p w14:paraId="4E43D63B">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.3.9定期更新各类排水、排液管及Submain take-off机台的使用点接点列表状况。</w:t>
      </w:r>
    </w:p>
    <w:p w14:paraId="7315AD92">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.3.10支吊架、防护、标签与警示</w:t>
      </w:r>
    </w:p>
    <w:p w14:paraId="18B8BF7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按国家规范和业主方要求做好标识、防护、警示。</w:t>
      </w:r>
    </w:p>
    <w:p w14:paraId="24DF2EC7">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.4测试</w:t>
      </w:r>
    </w:p>
    <w:p w14:paraId="0375B2E7">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.4.1 SUS304管道通气保压/满水试验：先以通气保压测试确认无漏气后，再对完工管路做24小时ICW满水试验、保压试验（可分段），排有机废液管道中的试验水时，需将水收集排放至IWW管道，禁止将试验的废水排至有机溶剂管道中。并在机台开始排水或排有机废液后做通水试验，现场需派人值守，确认各点无泄漏。2小时后再次检查各点无泄漏或渗漏为通过。</w:t>
      </w:r>
    </w:p>
    <w:p w14:paraId="167B7904">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8</w:t>
      </w:r>
      <w:r>
        <w:rPr>
          <w:rFonts w:hint="eastAsia" w:ascii="宋体" w:hAnsi="宋体" w:cs="宋体"/>
          <w:color w:val="auto"/>
          <w:szCs w:val="21"/>
          <w:highlight w:val="none"/>
          <w:lang w:bidi="ar"/>
        </w:rPr>
        <w:t>.4.2 PP-H，PVDF， CPVC,UPVC管道通水测试：须对完工管路做24小时满水试验（可分段），并在机台开始排水后做通水试验，现场需派人值守，确认各点无泄漏。2小时后再次检查各点无泄漏或渗漏为通过。</w:t>
      </w:r>
    </w:p>
    <w:p w14:paraId="4DE9DEBD">
      <w:pPr>
        <w:spacing w:line="360" w:lineRule="auto"/>
        <w:ind w:firstLine="498" w:firstLineChars="236"/>
        <w:outlineLvl w:val="3"/>
        <w:rPr>
          <w:rFonts w:hint="eastAsia" w:ascii="宋体" w:hAnsi="宋体" w:cs="宋体"/>
          <w:b/>
          <w:bCs/>
          <w:color w:val="auto"/>
          <w:szCs w:val="21"/>
          <w:highlight w:val="none"/>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.9工艺气体二次配</w:t>
      </w:r>
    </w:p>
    <w:p w14:paraId="5A5670C2">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.1界面点</w:t>
      </w:r>
    </w:p>
    <w:p w14:paraId="442AD30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（1）从动力一次侧take off点出发，安装阀盘后从吊顶上方下接到机台侧接口；</w:t>
      </w:r>
    </w:p>
    <w:p w14:paraId="5FE149F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（2）CDA，GN</w:t>
      </w:r>
      <w:r>
        <w:rPr>
          <w:rFonts w:hint="eastAsia" w:ascii="宋体" w:hAnsi="宋体" w:cs="宋体"/>
          <w:color w:val="auto"/>
          <w:szCs w:val="21"/>
          <w:highlight w:val="none"/>
          <w:vertAlign w:val="subscript"/>
          <w:lang w:bidi="ar"/>
        </w:rPr>
        <w:t>2</w:t>
      </w:r>
      <w:r>
        <w:rPr>
          <w:rFonts w:hint="eastAsia" w:ascii="宋体" w:hAnsi="宋体" w:cs="宋体"/>
          <w:color w:val="auto"/>
          <w:szCs w:val="21"/>
          <w:highlight w:val="none"/>
          <w:lang w:bidi="ar"/>
        </w:rPr>
        <w:t>、GO</w:t>
      </w:r>
      <w:r>
        <w:rPr>
          <w:rFonts w:hint="eastAsia" w:ascii="宋体" w:hAnsi="宋体" w:cs="宋体"/>
          <w:color w:val="auto"/>
          <w:szCs w:val="21"/>
          <w:highlight w:val="none"/>
          <w:vertAlign w:val="subscript"/>
          <w:lang w:bidi="ar"/>
        </w:rPr>
        <w:t>2</w:t>
      </w:r>
      <w:r>
        <w:rPr>
          <w:rFonts w:hint="eastAsia" w:ascii="宋体" w:hAnsi="宋体" w:cs="宋体"/>
          <w:color w:val="auto"/>
          <w:szCs w:val="21"/>
          <w:highlight w:val="none"/>
          <w:lang w:bidi="ar"/>
        </w:rPr>
        <w:t>盘面：</w:t>
      </w:r>
      <w:r>
        <w:rPr>
          <w:rFonts w:hint="eastAsia" w:ascii="宋体" w:hAnsi="宋体" w:cs="宋体"/>
          <w:color w:val="auto"/>
          <w:szCs w:val="21"/>
          <w:highlight w:val="none"/>
          <w:lang w:eastAsia="zh" w:bidi="ar"/>
        </w:rPr>
        <w:t>球阀</w:t>
      </w:r>
      <w:r>
        <w:rPr>
          <w:rFonts w:hint="eastAsia" w:ascii="宋体" w:hAnsi="宋体" w:cs="宋体"/>
          <w:color w:val="auto"/>
          <w:szCs w:val="21"/>
          <w:highlight w:val="none"/>
          <w:lang w:bidi="ar"/>
        </w:rPr>
        <w:t>，调压阀、压力表、过滤器；</w:t>
      </w:r>
    </w:p>
    <w:p w14:paraId="2912BD2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（3）PN</w:t>
      </w:r>
      <w:r>
        <w:rPr>
          <w:rFonts w:hint="eastAsia" w:ascii="宋体" w:hAnsi="宋体" w:cs="宋体"/>
          <w:color w:val="auto"/>
          <w:szCs w:val="21"/>
          <w:highlight w:val="none"/>
          <w:vertAlign w:val="subscript"/>
          <w:lang w:bidi="ar"/>
        </w:rPr>
        <w:t>2</w:t>
      </w:r>
      <w:r>
        <w:rPr>
          <w:rFonts w:hint="eastAsia" w:ascii="宋体" w:hAnsi="宋体" w:cs="宋体"/>
          <w:color w:val="auto"/>
          <w:szCs w:val="21"/>
          <w:highlight w:val="none"/>
          <w:lang w:bidi="ar"/>
        </w:rPr>
        <w:t>，PO</w:t>
      </w:r>
      <w:r>
        <w:rPr>
          <w:rFonts w:hint="eastAsia" w:ascii="宋体" w:hAnsi="宋体" w:cs="宋体"/>
          <w:color w:val="auto"/>
          <w:szCs w:val="21"/>
          <w:highlight w:val="none"/>
          <w:vertAlign w:val="subscript"/>
          <w:lang w:bidi="ar"/>
        </w:rPr>
        <w:t>2</w:t>
      </w:r>
      <w:r>
        <w:rPr>
          <w:rFonts w:hint="eastAsia" w:ascii="宋体" w:hAnsi="宋体" w:cs="宋体"/>
          <w:color w:val="auto"/>
          <w:szCs w:val="21"/>
          <w:highlight w:val="none"/>
          <w:lang w:bidi="ar"/>
        </w:rPr>
        <w:t>，PAr，PHe盘面：隔膜阀</w:t>
      </w:r>
      <w:r>
        <w:rPr>
          <w:rFonts w:hint="eastAsia" w:ascii="宋体" w:hAnsi="宋体" w:cs="宋体"/>
          <w:color w:val="auto"/>
          <w:szCs w:val="21"/>
          <w:highlight w:val="none"/>
          <w:lang w:eastAsia="zh" w:bidi="ar"/>
        </w:rPr>
        <w:t>或</w:t>
      </w:r>
      <w:r>
        <w:rPr>
          <w:rFonts w:hint="eastAsia" w:ascii="宋体" w:hAnsi="宋体" w:cs="宋体"/>
          <w:color w:val="auto"/>
          <w:szCs w:val="21"/>
          <w:highlight w:val="none"/>
          <w:lang w:bidi="ar"/>
        </w:rPr>
        <w:t>波纹</w:t>
      </w:r>
      <w:r>
        <w:rPr>
          <w:rFonts w:hint="eastAsia" w:ascii="宋体" w:hAnsi="宋体" w:cs="宋体"/>
          <w:color w:val="auto"/>
          <w:szCs w:val="21"/>
          <w:highlight w:val="none"/>
          <w:lang w:eastAsia="zh" w:bidi="ar"/>
        </w:rPr>
        <w:t>管</w:t>
      </w:r>
      <w:r>
        <w:rPr>
          <w:rFonts w:hint="eastAsia" w:ascii="宋体" w:hAnsi="宋体" w:cs="宋体"/>
          <w:color w:val="auto"/>
          <w:szCs w:val="21"/>
          <w:highlight w:val="none"/>
          <w:lang w:bidi="ar"/>
        </w:rPr>
        <w:t>阀</w:t>
      </w:r>
      <w:r>
        <w:rPr>
          <w:rFonts w:hint="eastAsia" w:ascii="宋体" w:hAnsi="宋体" w:cs="宋体"/>
          <w:color w:val="auto"/>
          <w:szCs w:val="21"/>
          <w:highlight w:val="none"/>
          <w:lang w:eastAsia="zh" w:bidi="ar"/>
        </w:rPr>
        <w:t>，</w:t>
      </w:r>
      <w:r>
        <w:rPr>
          <w:rFonts w:hint="eastAsia" w:ascii="宋体" w:hAnsi="宋体" w:cs="宋体"/>
          <w:color w:val="auto"/>
          <w:szCs w:val="21"/>
          <w:highlight w:val="none"/>
          <w:lang w:bidi="ar"/>
        </w:rPr>
        <w:t>调压阀、压力表、过滤器。</w:t>
      </w:r>
    </w:p>
    <w:p w14:paraId="3868D67B">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.2材料要求</w:t>
      </w:r>
    </w:p>
    <w:p w14:paraId="36EAB85A">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.2.1管材要求：</w:t>
      </w:r>
    </w:p>
    <w:tbl>
      <w:tblPr>
        <w:tblStyle w:val="27"/>
        <w:tblW w:w="8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3137"/>
        <w:gridCol w:w="2674"/>
        <w:gridCol w:w="1410"/>
      </w:tblGrid>
      <w:tr w14:paraId="61E9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1D013396">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气体种类</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3FE3B220">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管材材质</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03C2B10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阀门</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46E51A5">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连接方式</w:t>
            </w:r>
          </w:p>
        </w:tc>
      </w:tr>
      <w:tr w14:paraId="0DF7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4D3F1228">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NH3</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14913FB5">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EP级，加热</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5E5FDF88">
            <w:pPr>
              <w:keepNext w:val="0"/>
              <w:keepLines w:val="0"/>
              <w:suppressLineNumbers w:val="0"/>
              <w:spacing w:before="0" w:beforeAutospacing="0" w:after="0" w:afterAutospacing="0" w:line="360" w:lineRule="auto"/>
              <w:ind w:left="210" w:right="0" w:hanging="210" w:hanging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4BBF908">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06EA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43E22A30">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CH4</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0D2B7767">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2391AC9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79CE162">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15D2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5F808CF4">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BCL3</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2B2192BA">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EP级，加热</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6251C0F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923FBC5">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79DC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0C822398">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CL2</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11AF5A43">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SS316L V+V+SS304 AP级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4D69B75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4A0C04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6BF0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1D30A4A1">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HBR</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3D4891A3">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SS316L V+V+SS304 AP级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3F53BE6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3676FAD">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0C28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2C90DEB1">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NF3</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5AF5476C">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644BE8A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56AC80D">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1DC0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6A41FDD3">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SiH4(99.996%)200ppmH2混气</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3B02E47E">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0701FF3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0C1EA37">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31E3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5DF8F969">
            <w:pPr>
              <w:keepNext w:val="0"/>
              <w:keepLines w:val="0"/>
              <w:suppressLineNumbers w:val="0"/>
              <w:spacing w:before="0" w:beforeAutospacing="0" w:after="0" w:afterAutospacing="0" w:line="360" w:lineRule="auto"/>
              <w:ind w:left="0" w:leftChars="0" w:right="0" w:firstLine="0" w:firstLineChars="0"/>
              <w:rPr>
                <w:rFonts w:hint="eastAsia" w:ascii="宋体" w:hAnsi="宋体" w:cs="宋体"/>
                <w:color w:val="auto"/>
                <w:szCs w:val="21"/>
                <w:highlight w:val="none"/>
              </w:rPr>
            </w:pPr>
            <w:r>
              <w:rPr>
                <w:rFonts w:hint="eastAsia" w:ascii="宋体" w:hAnsi="宋体" w:cs="宋体"/>
                <w:color w:val="auto"/>
                <w:szCs w:val="21"/>
                <w:highlight w:val="none"/>
                <w:lang w:bidi="ar"/>
              </w:rPr>
              <w:t>5%H2+95%N2</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3E98FD50">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6FE6076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7483436">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596F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5741DF4A">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C2H4</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60FFF37A">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443A606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40147C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38A6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35C3E576">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SIH4</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2F6B72CE">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SS316L EP级+SS304 AP级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0AEEAC1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98E474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60AD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63565EE4">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C4F8</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47EB822">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EP级，加热</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6F5AD42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A5309B8">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3BB9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52783070">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HE</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822C6EE">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1F4671B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不锈钢膜阀或波纹管阀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138A88B">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5115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12E0A4E9">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N20</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93DE8DE">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25765D2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88200ED">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1CB8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13BB2713">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CF4</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1DDA5635">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239EACD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D5F5E62">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1492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326ED35D">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SF6</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674E4943">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3BC0C00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626734C">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3ACB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2AB1B4DC">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CHF3</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60CBE027">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5376540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8B85EFD">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2BC8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2AC19164">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PO2</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D03995F">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68B472C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不锈钢膜阀或波纹管阀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DD98C4C">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2192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11C1FA73">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PAR</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779ADE08">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7A54988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不锈钢膜阀或波纹管阀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C0645BB">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2753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1788299F">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GN2</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2982D7BA">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BA级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135AF23B">
            <w:pPr>
              <w:keepNext w:val="0"/>
              <w:keepLines w:val="0"/>
              <w:suppressLineNumbers w:val="0"/>
              <w:spacing w:before="0" w:beforeAutospacing="0" w:after="0" w:afterAutospacing="0" w:line="360" w:lineRule="auto"/>
              <w:ind w:left="0" w:right="0" w:firstLine="495" w:firstLineChars="236"/>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不锈钢球阀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4F4A2B7">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081F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6A97EE71">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GH2</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0754762A">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BA级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1DD3820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B99DB9E">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62AD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69F6353E">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PAR</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01A22F5C">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41A92F0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不锈钢膜阀或波纹管阀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71A13D1">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7467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758F9348">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PN2</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1EF462A6">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4F7AB4E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不锈钢膜阀或波纹管阀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ABB62F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70D4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183181C5">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PH2</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38C5A18">
            <w:pPr>
              <w:keepNext w:val="0"/>
              <w:keepLines w:val="0"/>
              <w:suppressLineNumbers w:val="0"/>
              <w:spacing w:before="0" w:beforeAutospacing="0" w:after="0" w:afterAutospacing="0" w:line="360" w:lineRule="auto"/>
              <w:ind w:left="0" w:right="0"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SS316L EP级</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4970B76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C2D904E">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自动焊接</w:t>
            </w:r>
          </w:p>
        </w:tc>
      </w:tr>
      <w:tr w14:paraId="70AA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10E0EA1A">
            <w:pPr>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lang w:eastAsia="zh" w:bidi="ar"/>
                <w:woUserID w:val="2"/>
              </w:rPr>
            </w:pPr>
            <w:r>
              <w:rPr>
                <w:rFonts w:hint="eastAsia" w:ascii="宋体" w:hAnsi="宋体" w:cs="宋体"/>
                <w:color w:val="auto"/>
                <w:szCs w:val="21"/>
                <w:highlight w:val="none"/>
                <w:lang w:eastAsia="zh" w:bidi="ar"/>
                <w:woUserID w:val="2"/>
              </w:rPr>
              <w:t xml:space="preserve"> HCl</w:t>
            </w:r>
          </w:p>
        </w:tc>
        <w:tc>
          <w:tcPr>
            <w:tcW w:w="3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0EBF2">
            <w:pPr>
              <w:keepNext w:val="0"/>
              <w:keepLines w:val="0"/>
              <w:suppressLineNumbers w:val="0"/>
              <w:spacing w:before="0" w:beforeAutospacing="0" w:after="0" w:afterAutospacing="0" w:line="360" w:lineRule="auto"/>
              <w:ind w:left="0" w:leftChars="0" w:right="0" w:rightChars="0"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
                <w:woUserID w:val="2"/>
              </w:rPr>
              <w:t>SS316L EP级+SS304 AP级</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A73DA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
              </w:rPr>
              <w:t>不锈钢膜阀</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7F180E">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
              </w:rPr>
              <w:t>自动焊接</w:t>
            </w:r>
          </w:p>
        </w:tc>
      </w:tr>
      <w:tr w14:paraId="155A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dxa"/>
            <w:tcBorders>
              <w:top w:val="single" w:color="auto" w:sz="4" w:space="0"/>
              <w:left w:val="single" w:color="auto" w:sz="4" w:space="0"/>
              <w:bottom w:val="single" w:color="auto" w:sz="4" w:space="0"/>
              <w:right w:val="single" w:color="auto" w:sz="4" w:space="0"/>
            </w:tcBorders>
            <w:noWrap w:val="0"/>
            <w:vAlign w:val="center"/>
          </w:tcPr>
          <w:p w14:paraId="000A1A9A">
            <w:pPr>
              <w:keepNext w:val="0"/>
              <w:keepLines w:val="0"/>
              <w:suppressLineNumbers w:val="0"/>
              <w:spacing w:before="0" w:beforeAutospacing="0" w:after="0" w:afterAutospacing="0" w:line="360" w:lineRule="auto"/>
              <w:ind w:left="0" w:leftChars="0" w:right="0" w:firstLine="420" w:firstLineChars="0"/>
              <w:rPr>
                <w:rFonts w:hint="eastAsia" w:ascii="宋体" w:hAnsi="宋体" w:cs="宋体"/>
                <w:color w:val="auto"/>
                <w:szCs w:val="21"/>
                <w:highlight w:val="none"/>
                <w:lang w:eastAsia="zh" w:bidi="ar"/>
                <w:woUserID w:val="4"/>
              </w:rPr>
            </w:pPr>
            <w:r>
              <w:rPr>
                <w:rFonts w:hint="eastAsia" w:ascii="宋体" w:hAnsi="宋体" w:cs="宋体"/>
                <w:color w:val="auto"/>
                <w:szCs w:val="21"/>
                <w:highlight w:val="none"/>
                <w:lang w:eastAsia="zh" w:bidi="ar"/>
                <w:woUserID w:val="4"/>
              </w:rPr>
              <w:t>厂务真空</w:t>
            </w:r>
          </w:p>
        </w:tc>
        <w:tc>
          <w:tcPr>
            <w:tcW w:w="3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27A7B4">
            <w:pPr>
              <w:keepNext w:val="0"/>
              <w:keepLines w:val="0"/>
              <w:suppressLineNumbers w:val="0"/>
              <w:spacing w:before="0" w:beforeAutospacing="0" w:after="0" w:afterAutospacing="0" w:line="360" w:lineRule="auto"/>
              <w:ind w:left="0" w:leftChars="0" w:right="0" w:rightChars="0" w:firstLine="210" w:firstLineChars="0"/>
              <w:rPr>
                <w:rFonts w:hint="eastAsia" w:ascii="宋体" w:hAnsi="宋体" w:eastAsia="宋体" w:cs="宋体"/>
                <w:color w:val="auto"/>
                <w:szCs w:val="21"/>
                <w:highlight w:val="none"/>
                <w:lang w:eastAsia="zh" w:bidi="ar"/>
                <w:woUserID w:val="4"/>
              </w:rPr>
            </w:pPr>
            <w:r>
              <w:rPr>
                <w:rFonts w:hint="eastAsia" w:ascii="宋体" w:hAnsi="宋体" w:cs="宋体"/>
                <w:color w:val="auto"/>
                <w:szCs w:val="21"/>
                <w:highlight w:val="none"/>
                <w:lang w:eastAsia="zh" w:bidi="ar"/>
                <w:woUserID w:val="4"/>
              </w:rPr>
              <w:t>SS304 BA级</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98858">
            <w:pPr>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woUserID w:val="4"/>
              </w:rPr>
              <w:t>不锈钢球阀</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A8460">
            <w:pPr>
              <w:keepNext w:val="0"/>
              <w:keepLines w:val="0"/>
              <w:suppressLineNumbers w:val="0"/>
              <w:spacing w:before="0" w:beforeAutospacing="0" w:after="0" w:afterAutospacing="0" w:line="360" w:lineRule="auto"/>
              <w:ind w:left="0" w:leftChars="0" w:right="0" w:rightChars="0" w:firstLine="0" w:firstLineChars="0"/>
              <w:rPr>
                <w:rFonts w:hint="eastAsia" w:ascii="宋体" w:hAnsi="宋体" w:cs="宋体"/>
                <w:color w:val="auto"/>
                <w:szCs w:val="21"/>
                <w:highlight w:val="none"/>
                <w:lang w:bidi="ar"/>
              </w:rPr>
            </w:pPr>
            <w:r>
              <w:rPr>
                <w:rFonts w:hint="eastAsia" w:ascii="宋体" w:hAnsi="宋体" w:cs="宋体"/>
                <w:color w:val="auto"/>
                <w:szCs w:val="21"/>
                <w:highlight w:val="none"/>
                <w:lang w:bidi="ar"/>
                <w:woUserID w:val="4"/>
              </w:rPr>
              <w:t>自动焊接</w:t>
            </w:r>
          </w:p>
        </w:tc>
      </w:tr>
    </w:tbl>
    <w:p w14:paraId="2C977DBB">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.2.</w:t>
      </w:r>
      <w:r>
        <w:rPr>
          <w:rFonts w:hint="eastAsia" w:ascii="宋体" w:hAnsi="宋体" w:cs="宋体"/>
          <w:color w:val="auto"/>
          <w:szCs w:val="21"/>
          <w:highlight w:val="none"/>
          <w:lang w:eastAsia="zh" w:bidi="ar"/>
          <w:woUserID w:val="4"/>
        </w:rPr>
        <w:t>2</w:t>
      </w:r>
      <w:r>
        <w:rPr>
          <w:rFonts w:hint="eastAsia" w:ascii="宋体" w:hAnsi="宋体" w:cs="宋体"/>
          <w:color w:val="auto"/>
          <w:szCs w:val="21"/>
          <w:highlight w:val="none"/>
          <w:lang w:bidi="ar"/>
        </w:rPr>
        <w:t>手阀要求：</w:t>
      </w:r>
    </w:p>
    <w:p w14:paraId="3DD2927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（1）CDA：BALL VALVE球阀；</w:t>
      </w:r>
    </w:p>
    <w:p w14:paraId="0750C618">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.2.</w:t>
      </w:r>
      <w:r>
        <w:rPr>
          <w:rFonts w:hint="eastAsia" w:ascii="宋体" w:hAnsi="宋体" w:cs="宋体"/>
          <w:color w:val="auto"/>
          <w:szCs w:val="21"/>
          <w:highlight w:val="none"/>
          <w:lang w:eastAsia="zh" w:bidi="ar"/>
          <w:woUserID w:val="4"/>
        </w:rPr>
        <w:t>3</w:t>
      </w:r>
      <w:r>
        <w:rPr>
          <w:rFonts w:hint="eastAsia" w:ascii="宋体" w:hAnsi="宋体" w:cs="宋体"/>
          <w:color w:val="auto"/>
          <w:szCs w:val="21"/>
          <w:highlight w:val="none"/>
          <w:lang w:bidi="ar"/>
        </w:rPr>
        <w:t>支架要求：</w:t>
      </w:r>
    </w:p>
    <w:p w14:paraId="17E1B40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支架使用不锈钢C型钢，两端安装塑料封盖。</w:t>
      </w:r>
    </w:p>
    <w:p w14:paraId="5DB71ED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.2.</w:t>
      </w:r>
      <w:r>
        <w:rPr>
          <w:rFonts w:hint="eastAsia" w:ascii="宋体" w:hAnsi="宋体" w:cs="宋体"/>
          <w:color w:val="auto"/>
          <w:szCs w:val="21"/>
          <w:highlight w:val="none"/>
          <w:lang w:eastAsia="zh" w:bidi="ar"/>
          <w:woUserID w:val="4"/>
        </w:rPr>
        <w:t>4</w:t>
      </w:r>
      <w:r>
        <w:rPr>
          <w:rFonts w:hint="eastAsia" w:ascii="宋体" w:hAnsi="宋体" w:cs="宋体"/>
          <w:color w:val="auto"/>
          <w:szCs w:val="21"/>
          <w:highlight w:val="none"/>
          <w:lang w:bidi="ar"/>
        </w:rPr>
        <w:t>材料必须提供原厂出厂检验证明及原产地证明；</w:t>
      </w:r>
    </w:p>
    <w:p w14:paraId="1287AD1E">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.2.</w:t>
      </w:r>
      <w:r>
        <w:rPr>
          <w:rFonts w:hint="eastAsia" w:ascii="宋体" w:hAnsi="宋体" w:cs="宋体"/>
          <w:color w:val="auto"/>
          <w:szCs w:val="21"/>
          <w:highlight w:val="none"/>
          <w:lang w:eastAsia="zh" w:bidi="ar"/>
          <w:woUserID w:val="4"/>
        </w:rPr>
        <w:t>5</w:t>
      </w:r>
      <w:r>
        <w:rPr>
          <w:rFonts w:hint="eastAsia" w:ascii="宋体" w:hAnsi="宋体" w:cs="宋体"/>
          <w:color w:val="auto"/>
          <w:szCs w:val="21"/>
          <w:highlight w:val="none"/>
          <w:lang w:bidi="ar"/>
        </w:rPr>
        <w:t>阀盘要求：</w:t>
      </w:r>
    </w:p>
    <w:p w14:paraId="0015554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（1）所选阀件之量程范围必须满足机台需求点所需量程范围；</w:t>
      </w:r>
    </w:p>
    <w:p w14:paraId="4BAD8BC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（2）阀盘材质为亮面SUS304；</w:t>
      </w:r>
    </w:p>
    <w:p w14:paraId="1E36CFD9">
      <w:pPr>
        <w:spacing w:line="360" w:lineRule="auto"/>
        <w:ind w:firstLine="495" w:firstLineChars="236"/>
        <w:rPr>
          <w:rFonts w:hint="eastAsia" w:ascii="宋体" w:hAnsi="宋体" w:cs="宋体"/>
          <w:color w:val="auto"/>
          <w:szCs w:val="21"/>
          <w:highlight w:val="none"/>
          <w:lang w:bidi="ar"/>
        </w:rPr>
      </w:pPr>
      <w:r>
        <w:rPr>
          <w:rFonts w:hint="eastAsia" w:ascii="宋体" w:hAnsi="宋体" w:cs="宋体"/>
          <w:color w:val="auto"/>
          <w:szCs w:val="21"/>
          <w:highlight w:val="none"/>
          <w:lang w:bidi="ar"/>
        </w:rPr>
        <w:t>（3）阀盘上所有零件都可以独立拆卸，不得焊接为一个整体；</w:t>
      </w:r>
    </w:p>
    <w:p w14:paraId="0BE28F9E">
      <w:pPr>
        <w:spacing w:line="360" w:lineRule="auto"/>
        <w:ind w:firstLine="495" w:firstLineChars="236"/>
        <w:rPr>
          <w:rFonts w:hint="eastAsia" w:ascii="宋体" w:hAnsi="宋体" w:cs="宋体"/>
          <w:color w:val="auto"/>
          <w:szCs w:val="21"/>
          <w:highlight w:val="none"/>
          <w:lang w:bidi="ar"/>
        </w:rPr>
      </w:pPr>
      <w:r>
        <w:rPr>
          <w:rFonts w:hint="eastAsia" w:ascii="宋体" w:hAnsi="宋体" w:cs="宋体"/>
          <w:color w:val="auto"/>
          <w:szCs w:val="21"/>
          <w:highlight w:val="none"/>
          <w:lang w:bidi="ar"/>
        </w:rPr>
        <w:t>（4）每个盘面需考虑预留</w:t>
      </w:r>
    </w:p>
    <w:p w14:paraId="5CE104EB">
      <w:pPr>
        <w:spacing w:line="360" w:lineRule="auto"/>
        <w:ind w:firstLine="420" w:firstLineChars="200"/>
        <w:outlineLvl w:val="5"/>
        <w:rPr>
          <w:rFonts w:hint="eastAsia" w:ascii="宋体" w:hAnsi="宋体" w:cs="宋体"/>
          <w:color w:val="auto"/>
          <w:szCs w:val="21"/>
          <w:highlight w:val="none"/>
          <w:lang w:bidi="ar"/>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2.</w:t>
      </w:r>
      <w:r>
        <w:rPr>
          <w:rFonts w:hint="eastAsia" w:ascii="宋体" w:hAnsi="宋体" w:cs="宋体"/>
          <w:color w:val="auto"/>
          <w:szCs w:val="21"/>
          <w:highlight w:val="none"/>
          <w:lang w:eastAsia="zh" w:bidi="ar"/>
          <w:woUserID w:val="4"/>
        </w:rPr>
        <w:t>6</w:t>
      </w:r>
      <w:r>
        <w:rPr>
          <w:rFonts w:hint="eastAsia" w:ascii="宋体" w:hAnsi="宋体" w:cs="宋体"/>
          <w:color w:val="auto"/>
          <w:szCs w:val="21"/>
          <w:highlight w:val="none"/>
          <w:lang w:bidi="ar"/>
        </w:rPr>
        <w:t>每个房间都布置不少于4个真空吸笔点位</w:t>
      </w:r>
      <w:r>
        <w:rPr>
          <w:rFonts w:hint="eastAsia" w:ascii="宋体" w:hAnsi="宋体" w:cs="宋体"/>
          <w:color w:val="auto"/>
          <w:szCs w:val="21"/>
          <w:highlight w:val="none"/>
          <w:lang w:eastAsia="zh" w:bidi="ar"/>
          <w:woUserID w:val="2"/>
        </w:rPr>
        <w:t>，并配置集中式厂务真空干泵</w:t>
      </w:r>
      <w:r>
        <w:rPr>
          <w:rFonts w:hint="eastAsia" w:ascii="宋体" w:hAnsi="宋体" w:cs="宋体"/>
          <w:color w:val="auto"/>
          <w:szCs w:val="21"/>
          <w:highlight w:val="none"/>
          <w:lang w:bidi="ar"/>
        </w:rPr>
        <w:t>。</w:t>
      </w:r>
    </w:p>
    <w:p w14:paraId="11908184">
      <w:pPr>
        <w:spacing w:line="360" w:lineRule="auto"/>
        <w:ind w:firstLine="420" w:firstLineChars="200"/>
        <w:outlineLvl w:val="5"/>
        <w:rPr>
          <w:rFonts w:hint="eastAsia" w:ascii="宋体" w:hAnsi="宋体" w:cs="宋体"/>
          <w:color w:val="auto"/>
          <w:szCs w:val="21"/>
          <w:highlight w:val="none"/>
          <w:lang w:eastAsia="zh" w:bidi="ar"/>
        </w:rPr>
      </w:pPr>
      <w:r>
        <w:rPr>
          <w:rFonts w:hint="eastAsia" w:ascii="宋体" w:hAnsi="宋体" w:cs="宋体"/>
          <w:color w:val="auto"/>
          <w:szCs w:val="21"/>
          <w:highlight w:val="none"/>
          <w:lang w:eastAsia="zh" w:bidi="ar"/>
        </w:rPr>
        <w:t>3.9.2.</w:t>
      </w:r>
      <w:r>
        <w:rPr>
          <w:rFonts w:hint="eastAsia" w:ascii="宋体" w:hAnsi="宋体" w:cs="宋体"/>
          <w:color w:val="auto"/>
          <w:szCs w:val="21"/>
          <w:highlight w:val="none"/>
          <w:lang w:eastAsia="zh" w:bidi="ar"/>
          <w:woUserID w:val="4"/>
        </w:rPr>
        <w:t>7</w:t>
      </w:r>
      <w:r>
        <w:rPr>
          <w:rFonts w:hint="eastAsia" w:ascii="宋体" w:hAnsi="宋体" w:cs="宋体"/>
          <w:color w:val="auto"/>
          <w:szCs w:val="21"/>
          <w:highlight w:val="none"/>
          <w:lang w:eastAsia="zh" w:bidi="ar"/>
        </w:rPr>
        <w:t>根据工艺设备需求配置安全侦测与报警系统，需考虑工艺设备内部管道的安全监测及设备所在环境点安全监测。</w:t>
      </w:r>
    </w:p>
    <w:p w14:paraId="3E210FFA">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.3施工要求</w:t>
      </w:r>
    </w:p>
    <w:p w14:paraId="511FA479">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 Take off点：Take off点的使用必须经过业主方确认；</w:t>
      </w:r>
    </w:p>
    <w:p w14:paraId="5CEB580C">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.3.2挂牌要求：对Take off点出口手阀上除贴标签外，还需对所有Take off点进行挂牌标示，注明气体名、气体流向及其供应端设备的编号。施工中应在盘面手阀上挂常闭挂牌，turn on后更换为常开挂牌；</w:t>
      </w:r>
    </w:p>
    <w:p w14:paraId="7E69A667">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3.3标签要求：管线沿途每2米、每个转弯处及设备连接处应张贴标签，标签张贴位置应便于现场查找，标签纸宽度和大小应符合所在处管线管径，易辨认、不脱落。标签内容包括动力源名称和流动方向，由施工方根据现场情况综合考虑，在管线沿途和防护上设置各种必要的警示，格式和色彩必须符合业主方安环部门对于警示标签的规定。所有设备入口端盘面须贴标签注明气体名及其供应端设备的编号，标签格式事先须经业主方确认，标签统一张贴于进气端；</w:t>
      </w:r>
    </w:p>
    <w:p w14:paraId="30D95D86">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.3.4弯管要求：非易燃易爆、剧毒气体管，原则上1/2（含）以下可以使用弯管器，以上必须使用标准弯头焊接；易燃易爆、剧毒气体管必须使用标准弯头焊接；</w:t>
      </w:r>
    </w:p>
    <w:p w14:paraId="48688126">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.3.5图纸要求：施工方应于施工前提交施工图，经业主方确认后才可以施工。施工完成后应立即提交完工图，完工图必须体现管路起点、终点、长度、使用材料、阀门型号（需保证品牌与型号的一致性）等；</w:t>
      </w:r>
    </w:p>
    <w:p w14:paraId="36954CD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.3.6施工用具要求：施工方必须提供施工专用工具（包括并不限于焊接机（需使用国际一流品牌）、弯管器、断面加工器等）的生产厂商、型号及规格等；</w:t>
      </w:r>
    </w:p>
    <w:p w14:paraId="2EA4043C">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.3.7所有施工用具（包含但不限于各类焊机、自动套丝机、圆盘锯、人字梯、脚手架、铝制跳板等）必须得到业主方安环部门检验合格，方可使用；</w:t>
      </w:r>
    </w:p>
    <w:p w14:paraId="0F18028E">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.3.8施工方所有物品的规格及其使用、清洗、管理方式应符合业主方的净化间管理条例或其他相关管理条例，由施工方根据现场情况综合考虑；</w:t>
      </w:r>
    </w:p>
    <w:p w14:paraId="09B62872">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.3.9施工要求：施工方负责设计、安装、测试验收；</w:t>
      </w:r>
    </w:p>
    <w:p w14:paraId="590B00F8">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.3.10施工方必须提供详细的施工方方案，包括并不限于进度管理表、焊接工艺规范、管道弯曲流程及规范、管道切割面处理、安全管理规范等；</w:t>
      </w:r>
    </w:p>
    <w:p w14:paraId="10DA4737">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3.11当天焊接施工前，针对不同材质或尺寸的管路均需预先制作焊样，并提供管路剖析样本，样本必须标注焊机型号、焊接技师姓名、管材、尺寸和焊接日期时间。待验收通过后才能开始正式焊接，在正式施工过程中，业主方随机检查焊接质量，施工方应积极配合。</w:t>
      </w:r>
    </w:p>
    <w:p w14:paraId="70B3D23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.3.12焊接完成后，应趁管材还有余热时，迅速消除氧化膜（使用专用的刷具）；</w:t>
      </w:r>
    </w:p>
    <w:p w14:paraId="796F2EDC">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.3.13焊接完成后，应在管材的开口部，对应管材的口径盖好树脂制盖帽；</w:t>
      </w:r>
    </w:p>
    <w:p w14:paraId="5D7444C2">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.3.14为所有未使用的管路及阀件提供管帽或盲板连接，防止管路或阀件污染；</w:t>
      </w:r>
    </w:p>
    <w:p w14:paraId="42774E58">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.3.15因施工方违反施工要求导致的质量问题，施工方应无条件服从整改要求，直至满足业主方要求。并承担因此对业主方造成的损失；</w:t>
      </w:r>
    </w:p>
    <w:p w14:paraId="03EF7DA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.3.16管路防护要求：管路穿过有防火等级的墙或楼板时，其结构与管之环状之间的间隙必须用同等防火材料予以填缝以预防火之扩散；</w:t>
      </w:r>
    </w:p>
    <w:p w14:paraId="2B37B7F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.3.17管路穿越洁净壁板的开孔处，必须使用厚度不小于1.5mm不锈钢板进行封堵，并使用洁净硅胶等完全密封；</w:t>
      </w:r>
    </w:p>
    <w:p w14:paraId="6BCAE0B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.3.18为管线沿途以及支吊架提供并安装各种必要的管道防护，包括但不限于防撞保护、防踏保护、跨越阶梯、斜坡、平板等。防护应使用厚度不小于2mm不锈钢板、H型钢、C型钢等；</w:t>
      </w:r>
    </w:p>
    <w:p w14:paraId="4F4FEC95">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3.19安全要求：hookup的材料和施工必须是专业和安全的，必须完全符合中国和国际标准，在设计、预制和配管施工时须遵守施工地区标准、中国国家标准和国际标准。如果相关标准有差异，采用其中更严格的标准。在施工过程中，施工方须遵守安全规范和业主方本身的相关规范和规定。</w:t>
      </w:r>
    </w:p>
    <w:p w14:paraId="5E896062">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.3.20支吊架、防护、标签与警示</w:t>
      </w:r>
    </w:p>
    <w:p w14:paraId="57232E9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按国家规范和业主方要求做好标识、防护、警示。</w:t>
      </w:r>
    </w:p>
    <w:p w14:paraId="56EEC93D">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.4测试</w:t>
      </w:r>
    </w:p>
    <w:p w14:paraId="34A1212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测试项目包括压力测试、氦气测漏、水分含量测试、氧气含量测试与微粒。</w:t>
      </w:r>
    </w:p>
    <w:p w14:paraId="3B67111E">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.4.1管路压力测试：</w:t>
      </w:r>
    </w:p>
    <w:p w14:paraId="0E20C0F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Bulk-gas及Purified-gas持压测试时间6小时（须检附保压记录器圆盘记录纸）；合格标准：气体保压测试初始压力7.5~8.5 kg/cm2，持压后△P≦1%初始压力；</w:t>
      </w:r>
    </w:p>
    <w:p w14:paraId="14F63DE0">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.4.2管路氦测漏：</w:t>
      </w:r>
    </w:p>
    <w:p w14:paraId="2F6A417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Purified-gas 及Special-gas气体管路须进行质谱型氦测漏测试（测试仪器需出示校验证明），并须检附氦测漏机记录纸；合格标准：漏率≦1*10</w:t>
      </w:r>
      <w:r>
        <w:rPr>
          <w:rFonts w:hint="eastAsia" w:ascii="宋体" w:hAnsi="宋体" w:cs="宋体"/>
          <w:color w:val="auto"/>
          <w:szCs w:val="21"/>
          <w:highlight w:val="none"/>
          <w:vertAlign w:val="superscript"/>
          <w:lang w:bidi="ar"/>
        </w:rPr>
        <w:t>-9</w:t>
      </w:r>
      <w:r>
        <w:rPr>
          <w:rFonts w:hint="eastAsia" w:ascii="宋体" w:hAnsi="宋体" w:cs="宋体"/>
          <w:color w:val="auto"/>
          <w:szCs w:val="21"/>
          <w:highlight w:val="none"/>
          <w:lang w:bidi="ar"/>
        </w:rPr>
        <w:t xml:space="preserve"> mbar.L/s，喷完氦气，30分钟数值无上涨。</w:t>
      </w:r>
    </w:p>
    <w:p w14:paraId="55675E94">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.4.3管路水分/氧分析测试：</w:t>
      </w:r>
    </w:p>
    <w:p w14:paraId="247B9F2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Purified-gas及Special-gas气体管路须进行水分、氧分析测试，并须检附水分、氧分析仪记录纸；合格标准：测试时间30分钟，D.P（含水量）≦10ppb D.P（含氧量）≦10ppb。水份分析仪误差range为±2ppb；</w:t>
      </w:r>
    </w:p>
    <w:p w14:paraId="3C0BC16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3.9</w:t>
      </w:r>
      <w:r>
        <w:rPr>
          <w:rFonts w:hint="eastAsia" w:ascii="宋体" w:hAnsi="宋体" w:cs="宋体"/>
          <w:color w:val="auto"/>
          <w:szCs w:val="21"/>
          <w:highlight w:val="none"/>
          <w:lang w:bidi="ar"/>
        </w:rPr>
        <w:t>.4.4管路微粒测试：</w:t>
      </w:r>
    </w:p>
    <w:p w14:paraId="731723D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Purified-gas 及 Special-gas气体管路须进行微粒测试，并须检附Particle Counter记录纸；合格标准：每10分钟测1点，连续测3次，Purified-gas、Special gas粒径≦0.1μm，颗粒数≦1pcs/cf；</w:t>
      </w:r>
    </w:p>
    <w:p w14:paraId="4D2E058E">
      <w:pPr>
        <w:spacing w:line="360" w:lineRule="auto"/>
        <w:ind w:firstLine="498" w:firstLineChars="236"/>
        <w:outlineLvl w:val="3"/>
        <w:rPr>
          <w:rFonts w:hint="eastAsia" w:ascii="宋体" w:hAnsi="宋体" w:cs="宋体"/>
          <w:b/>
          <w:bCs/>
          <w:color w:val="auto"/>
          <w:szCs w:val="21"/>
          <w:highlight w:val="none"/>
          <w:lang w:eastAsia="zh" w:bidi="ar"/>
        </w:rPr>
      </w:pPr>
      <w:r>
        <w:rPr>
          <w:rFonts w:hint="eastAsia" w:ascii="宋体" w:hAnsi="宋体" w:cs="宋体"/>
          <w:b/>
          <w:bCs/>
          <w:color w:val="auto"/>
          <w:szCs w:val="21"/>
          <w:highlight w:val="none"/>
          <w:lang w:eastAsia="zh" w:bidi="ar"/>
        </w:rPr>
        <w:t>3.10工艺冷却水系统二次配</w:t>
      </w:r>
    </w:p>
    <w:p w14:paraId="61F7173E">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.1界面点</w:t>
      </w:r>
    </w:p>
    <w:p w14:paraId="6933A41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.1.1从一次配吊顶上预留的PCW系统支管上的阀门之后至设备接口的这段配管及阀件；</w:t>
      </w:r>
    </w:p>
    <w:p w14:paraId="435A3D0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.1.2所有小于1/2”的机台需求点，均使用1/2”阀组，阀组后端变径连接到机台；</w:t>
      </w:r>
    </w:p>
    <w:p w14:paraId="033EC667">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.2材料要求</w:t>
      </w:r>
    </w:p>
    <w:p w14:paraId="689032D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.2.1管材要求：SUS304  AP 10S，禁油处理；</w:t>
      </w:r>
    </w:p>
    <w:p w14:paraId="64BB17D5">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.2.2支架要求：支架使用不锈钢C型钢，两端安装塑料封盖；</w:t>
      </w:r>
    </w:p>
    <w:p w14:paraId="6D9682CB">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.2.3密封件要求：成品法兰垫片，材质为EPDM；</w:t>
      </w:r>
    </w:p>
    <w:p w14:paraId="6C758CF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.2.4材料必须提供原厂出厂检验证明及原产地证明。</w:t>
      </w:r>
    </w:p>
    <w:p w14:paraId="0B649A5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.2.5阀组要求</w:t>
      </w:r>
    </w:p>
    <w:p w14:paraId="6B95DBA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阀组与管路之间须采用法兰连接，阀组上所有零件都可以独立拆卸，不得焊接为一个整体。</w:t>
      </w:r>
    </w:p>
    <w:p w14:paraId="390BABD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.2.6 Take off点的使用必须经过业主方确认。</w:t>
      </w:r>
    </w:p>
    <w:p w14:paraId="064746FE">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.2.7软管及软管接头要求：</w:t>
      </w:r>
    </w:p>
    <w:p w14:paraId="019F53E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（1）软管要求耐磨、耐腐蚀、耐硬化抗弯曲。至少能承受10kg/cm</w:t>
      </w:r>
      <w:r>
        <w:rPr>
          <w:rFonts w:hint="eastAsia" w:ascii="宋体" w:hAnsi="宋体" w:cs="宋体"/>
          <w:color w:val="auto"/>
          <w:szCs w:val="21"/>
          <w:highlight w:val="none"/>
          <w:vertAlign w:val="superscript"/>
          <w:lang w:bidi="ar"/>
        </w:rPr>
        <w:t>2</w:t>
      </w:r>
      <w:r>
        <w:rPr>
          <w:rFonts w:hint="eastAsia" w:ascii="宋体" w:hAnsi="宋体" w:cs="宋体"/>
          <w:color w:val="auto"/>
          <w:szCs w:val="21"/>
          <w:highlight w:val="none"/>
          <w:lang w:bidi="ar"/>
        </w:rPr>
        <w:t>压力。</w:t>
      </w:r>
    </w:p>
    <w:p w14:paraId="181073E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（2）所有pump使用90度软管接头衔接，接头材质为SUS304。</w:t>
      </w:r>
    </w:p>
    <w:p w14:paraId="7E8E6521">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.2.8球阀要求：三片式球阀，禁油处理。</w:t>
      </w:r>
    </w:p>
    <w:p w14:paraId="276D6F9C">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.3施工要求</w:t>
      </w:r>
    </w:p>
    <w:p w14:paraId="74496290">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3.1机台点连接要求1”（含）以下机台需求点用软管连接，1”以上用SUS304L硬管连接；盘面到机台连接点视情况使用PVC高压编织软管，PVC高压编织软管颜色使用黄色。当盘面到机台连接点接头不符时厂商应负责提供适合的转接头。</w:t>
      </w:r>
    </w:p>
    <w:p w14:paraId="4B7791D1">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3.2原则上PCW盘面安装在洁净室，洁净室流量计均使用立式流量计，软管需安装在专用桥架上，所有流量计量程必须符合FSIM或机台的要求。PCW管道连接方式为焊接连接，除温度计、压力表、点允许插焊，其他配件均需成品配件，场外预制厂内组装；</w:t>
      </w:r>
    </w:p>
    <w:p w14:paraId="06E13E18">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.3.3挂牌要求：对Take off点出口手阀上除贴标签外，还需对所有Take off点进行挂牌标示，注明流向，注明其供应端设备的编号。施工中应在盘面手阀上挂常闭挂牌，turn on后更换为常开挂牌；</w:t>
      </w:r>
    </w:p>
    <w:p w14:paraId="71DD14E9">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3.4标签要求：管线沿途每2米、每个转弯处及设备连接处应张贴标签，标签张贴位置应便于现场查找，标签纸宽度和大小应符合所在处管线管径，易辨认、不脱落。标签内容包括动力源名称和流动方向，由施工方根据现场情况综合考虑，并在管线沿途和防护上设置各种必要的警示，格式和色彩必须符合业主方安环部门对于警示标签的规定。所有设备入口端盘面须贴标签注明进回水及其供应端设备的编号，标签格式事先须经业主方确认；</w:t>
      </w:r>
    </w:p>
    <w:p w14:paraId="6C11ECA5">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.3.5图纸要求：施工方于施工前提交施工图，经业主方确认后才可以施工。施工完成后应立即提交完工图，完工图必须体现管路起点、终点、长度、使用材料、阀门规格等；</w:t>
      </w:r>
    </w:p>
    <w:p w14:paraId="59A140FB">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.3.6施工方负责设计、安装、测试验收和管路修改（在安装和保修期）；</w:t>
      </w:r>
    </w:p>
    <w:p w14:paraId="5365EA9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.3.7施工方必须提供详细的施工方方案，包括并不限于进度管理表、焊接工艺规范、管道弯曲流程及规范、管道切割面处理、安全管理规范等；</w:t>
      </w:r>
    </w:p>
    <w:p w14:paraId="5F876608">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.3.8当天焊接施工前，针对不同材质或尺寸的管路均需预先制作焊样，并提供管路剖析样本，样本必须标注焊机型号、焊接技师姓名、管材、尺寸和焊接日期时间。待验收通过后才能开始正式焊接；</w:t>
      </w:r>
    </w:p>
    <w:p w14:paraId="2981E6B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.3.9焊接完成后，应趁管材还有余热时，迅速消除氧化膜（使用专用的刷具）；</w:t>
      </w:r>
    </w:p>
    <w:p w14:paraId="0D008FC5">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.3.10焊接完成后，应在管材的开口部，对应管材的口径盖好树脂制盖帽；</w:t>
      </w:r>
    </w:p>
    <w:p w14:paraId="4BE1247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.3.11为所有未使用的管路及阀件提供管帽或盲板连接，防止管路或阀件污染；</w:t>
      </w:r>
    </w:p>
    <w:p w14:paraId="00691487">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.3.12因施工方违反施工要求导致的质量问题，施工方应无条件服从整改要求，直至满足业主方要求。并承担因此对业主方造成的损失；</w:t>
      </w:r>
    </w:p>
    <w:p w14:paraId="555B6476">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.3.13管路防护要求：管路穿过有防火等级的墙或楼板时，其结构与管之环状之间的间隙必须用同等防火材料予以填缝以预防火之扩散；</w:t>
      </w:r>
    </w:p>
    <w:p w14:paraId="06342D8A">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.3.14管路穿越洁净壁板的开孔处，必须使用厚度不小于1.5mm不锈钢板进行封堵，并使用洁净硅胶等完全密封；</w:t>
      </w:r>
    </w:p>
    <w:p w14:paraId="305D2574">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.3.15为管线沿途以及支吊架提供并安装各种必要的管道防护，包括但不限于防撞保护、防踏保护、跨越阶梯、斜坡、平板等。防护应使用厚度不小于2mm不锈钢板、H型钢、C型钢等；</w:t>
      </w:r>
    </w:p>
    <w:p w14:paraId="4A096564">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3.16安全要求：hookup的材料和施工必须是专业和安全的，必须完全符合中国和国际标准，在设计、预制和配管施工时须遵守施工地区标准、中国国家标准和国际标准。如果相关标准有差异，采用其中更严格的标准。在施工过程中，施工方须遵守安全规范和业主方本身的相关规范和规定。</w:t>
      </w:r>
    </w:p>
    <w:p w14:paraId="2CDF74F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.3.17支吊架、防护、标签与警示</w:t>
      </w:r>
    </w:p>
    <w:p w14:paraId="5CA233A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按国家规范和业主方要求做好标识、防护、警示。</w:t>
      </w:r>
    </w:p>
    <w:p w14:paraId="0274064C">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.4测试</w:t>
      </w:r>
    </w:p>
    <w:p w14:paraId="5A34C1CC">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.4.1气压测试：8kg/cm</w:t>
      </w:r>
      <w:r>
        <w:rPr>
          <w:rFonts w:hint="eastAsia" w:ascii="宋体" w:hAnsi="宋体" w:cs="宋体"/>
          <w:color w:val="auto"/>
          <w:szCs w:val="21"/>
          <w:highlight w:val="none"/>
          <w:vertAlign w:val="superscript"/>
          <w:lang w:bidi="ar"/>
        </w:rPr>
        <w:t>2</w:t>
      </w:r>
      <w:r>
        <w:rPr>
          <w:rFonts w:hint="eastAsia" w:ascii="宋体" w:hAnsi="宋体" w:cs="宋体"/>
          <w:color w:val="auto"/>
          <w:szCs w:val="21"/>
          <w:highlight w:val="none"/>
          <w:lang w:bidi="ar"/>
        </w:rPr>
        <w:t>，24小时无压降，使用CDA或GN</w:t>
      </w:r>
      <w:r>
        <w:rPr>
          <w:rFonts w:hint="eastAsia" w:ascii="宋体" w:hAnsi="宋体" w:cs="宋体"/>
          <w:color w:val="auto"/>
          <w:szCs w:val="21"/>
          <w:highlight w:val="none"/>
          <w:vertAlign w:val="subscript"/>
          <w:lang w:bidi="ar"/>
        </w:rPr>
        <w:t>2；</w:t>
      </w:r>
    </w:p>
    <w:p w14:paraId="328ED3D0">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.4.2水压测试：5kg/cm</w:t>
      </w:r>
      <w:r>
        <w:rPr>
          <w:rFonts w:hint="eastAsia" w:ascii="宋体" w:hAnsi="宋体" w:cs="宋体"/>
          <w:color w:val="auto"/>
          <w:szCs w:val="21"/>
          <w:highlight w:val="none"/>
          <w:vertAlign w:val="superscript"/>
          <w:lang w:bidi="ar"/>
        </w:rPr>
        <w:t>2</w:t>
      </w:r>
      <w:r>
        <w:rPr>
          <w:rFonts w:hint="eastAsia" w:ascii="宋体" w:hAnsi="宋体" w:cs="宋体"/>
          <w:color w:val="auto"/>
          <w:szCs w:val="21"/>
          <w:highlight w:val="none"/>
          <w:lang w:bidi="ar"/>
        </w:rPr>
        <w:t>，30分钟无渗水，ICW介质；</w:t>
      </w:r>
    </w:p>
    <w:p w14:paraId="4FA6FC35">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.4.3所有测试须经业主方工程师在场确认，施工方单方面确认无效。测试完成后须提交测试报告；</w:t>
      </w:r>
    </w:p>
    <w:p w14:paraId="643D9A6B">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10</w:t>
      </w:r>
      <w:r>
        <w:rPr>
          <w:rFonts w:hint="eastAsia" w:ascii="宋体" w:hAnsi="宋体" w:cs="宋体"/>
          <w:color w:val="auto"/>
          <w:szCs w:val="21"/>
          <w:highlight w:val="none"/>
          <w:lang w:bidi="ar"/>
        </w:rPr>
        <w:t>.4.4管道焊接保护用气体要满足业主方洁净室的使用指标要求；</w:t>
      </w:r>
    </w:p>
    <w:p w14:paraId="5521B543">
      <w:pPr>
        <w:spacing w:line="360" w:lineRule="auto"/>
        <w:ind w:firstLine="498" w:firstLineChars="236"/>
        <w:outlineLvl w:val="3"/>
        <w:rPr>
          <w:rFonts w:hint="eastAsia" w:ascii="宋体" w:hAnsi="宋体" w:cs="宋体"/>
          <w:b/>
          <w:bCs/>
          <w:color w:val="auto"/>
          <w:szCs w:val="21"/>
          <w:highlight w:val="none"/>
          <w:lang w:bidi="ar"/>
        </w:rPr>
      </w:pPr>
      <w:r>
        <w:rPr>
          <w:rFonts w:hint="eastAsia" w:ascii="宋体" w:hAnsi="宋体" w:cs="宋体"/>
          <w:b/>
          <w:bCs/>
          <w:color w:val="auto"/>
          <w:szCs w:val="21"/>
          <w:highlight w:val="none"/>
          <w:lang w:eastAsia="zh" w:bidi="ar"/>
        </w:rPr>
        <w:t>3.</w:t>
      </w:r>
      <w:r>
        <w:rPr>
          <w:rFonts w:hint="eastAsia" w:ascii="宋体" w:hAnsi="宋体" w:cs="宋体"/>
          <w:b/>
          <w:bCs/>
          <w:color w:val="auto"/>
          <w:szCs w:val="21"/>
          <w:highlight w:val="none"/>
          <w:lang w:bidi="ar"/>
        </w:rPr>
        <w:t>11</w:t>
      </w:r>
      <w:r>
        <w:rPr>
          <w:rFonts w:hint="eastAsia" w:ascii="宋体" w:hAnsi="宋体" w:cs="宋体"/>
          <w:b/>
          <w:bCs/>
          <w:color w:val="auto"/>
          <w:szCs w:val="21"/>
          <w:highlight w:val="none"/>
          <w:lang w:eastAsia="zh" w:bidi="ar"/>
        </w:rPr>
        <w:t>尾气处理</w:t>
      </w:r>
      <w:r>
        <w:rPr>
          <w:rFonts w:hint="eastAsia" w:ascii="宋体" w:hAnsi="宋体" w:cs="宋体"/>
          <w:b/>
          <w:bCs/>
          <w:color w:val="auto"/>
          <w:szCs w:val="21"/>
          <w:highlight w:val="none"/>
          <w:lang w:eastAsia="zh" w:bidi="ar"/>
          <w:woUserID w:val="1"/>
        </w:rPr>
        <w:t>与真</w:t>
      </w:r>
      <w:r>
        <w:rPr>
          <w:rFonts w:hint="eastAsia" w:ascii="宋体" w:hAnsi="宋体" w:cs="宋体"/>
          <w:b/>
          <w:bCs/>
          <w:color w:val="auto"/>
          <w:szCs w:val="21"/>
          <w:highlight w:val="none"/>
          <w:lang w:eastAsia="zh" w:bidi="ar"/>
        </w:rPr>
        <w:t>空管路、石墨盘</w:t>
      </w:r>
      <w:r>
        <w:rPr>
          <w:rFonts w:hint="eastAsia" w:ascii="宋体" w:hAnsi="宋体" w:cs="宋体"/>
          <w:b/>
          <w:bCs/>
          <w:color w:val="auto"/>
          <w:szCs w:val="21"/>
          <w:highlight w:val="none"/>
          <w:lang w:bidi="ar"/>
        </w:rPr>
        <w:t>清洗装置</w:t>
      </w:r>
    </w:p>
    <w:p w14:paraId="68922C4F">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 xml:space="preserve">1.1 </w:t>
      </w:r>
      <w:r>
        <w:rPr>
          <w:rFonts w:hint="eastAsia" w:ascii="宋体" w:hAnsi="宋体" w:cs="宋体"/>
          <w:b/>
          <w:bCs/>
          <w:color w:val="auto"/>
          <w:szCs w:val="21"/>
          <w:highlight w:val="none"/>
          <w:lang w:eastAsia="zh" w:bidi="ar"/>
        </w:rPr>
        <w:t>尾气处理</w:t>
      </w:r>
      <w:r>
        <w:rPr>
          <w:rFonts w:hint="eastAsia" w:ascii="宋体" w:hAnsi="宋体" w:cs="宋体"/>
          <w:b/>
          <w:bCs/>
          <w:color w:val="auto"/>
          <w:szCs w:val="21"/>
          <w:highlight w:val="none"/>
          <w:lang w:eastAsia="zh" w:bidi="ar"/>
          <w:woUserID w:val="1"/>
        </w:rPr>
        <w:t>与真</w:t>
      </w:r>
      <w:r>
        <w:rPr>
          <w:rFonts w:hint="eastAsia" w:ascii="宋体" w:hAnsi="宋体" w:cs="宋体"/>
          <w:b/>
          <w:bCs/>
          <w:color w:val="auto"/>
          <w:szCs w:val="21"/>
          <w:highlight w:val="none"/>
          <w:lang w:eastAsia="zh" w:bidi="ar"/>
        </w:rPr>
        <w:t>空管路</w:t>
      </w:r>
      <w:r>
        <w:rPr>
          <w:rFonts w:hint="eastAsia" w:ascii="宋体" w:hAnsi="宋体" w:cs="宋体"/>
          <w:b/>
          <w:bCs/>
          <w:color w:val="auto"/>
          <w:szCs w:val="21"/>
          <w:highlight w:val="none"/>
          <w:lang w:bidi="ar"/>
        </w:rPr>
        <w:t>材质要求</w:t>
      </w:r>
    </w:p>
    <w:p w14:paraId="6E8C0BC6">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1.1.1管材要求：SUS304，禁油处理；</w:t>
      </w:r>
    </w:p>
    <w:p w14:paraId="2B378DBE">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1.1.2支架要求：支架使用不锈钢C型钢，两端安装塑料封盖；</w:t>
      </w:r>
    </w:p>
    <w:p w14:paraId="6B92A13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1.1.3密封件要求：成品KF法兰，材质为SUS304</w:t>
      </w:r>
      <w:r>
        <w:rPr>
          <w:rFonts w:hint="eastAsia" w:ascii="宋体" w:hAnsi="宋体" w:cs="宋体"/>
          <w:color w:val="auto"/>
          <w:szCs w:val="21"/>
          <w:highlight w:val="none"/>
          <w:lang w:eastAsia="zh" w:bidi="ar"/>
          <w:woUserID w:val="4"/>
        </w:rPr>
        <w:t>，垫片材质为氟橡胶</w:t>
      </w:r>
      <w:r>
        <w:rPr>
          <w:rFonts w:hint="eastAsia" w:ascii="宋体" w:hAnsi="宋体" w:cs="宋体"/>
          <w:color w:val="auto"/>
          <w:szCs w:val="21"/>
          <w:highlight w:val="none"/>
          <w:lang w:bidi="ar"/>
        </w:rPr>
        <w:t>；</w:t>
      </w:r>
    </w:p>
    <w:p w14:paraId="5636F148">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1.1.4材料必须提供原厂出厂检验证明及原产地证明；</w:t>
      </w:r>
    </w:p>
    <w:p w14:paraId="2A79A132">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1.1.5阀组要求</w:t>
      </w:r>
    </w:p>
    <w:p w14:paraId="6D43428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阀组与管路之间须采用KF法兰连接，阀组上所有零件都可以独立拆卸，不得焊接为一个整体。</w:t>
      </w:r>
    </w:p>
    <w:p w14:paraId="6FC8E48F">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1.1.6 Take off点的使用必须经过业主方确认。</w:t>
      </w:r>
    </w:p>
    <w:p w14:paraId="14CEC597">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1.1.7软管及软管接头要求：</w:t>
      </w:r>
    </w:p>
    <w:p w14:paraId="374CE23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（1）软管要求使用不锈钢真空波纹管，KF法兰连接。耐磨、耐腐蚀。</w:t>
      </w:r>
    </w:p>
    <w:p w14:paraId="60DCA496">
      <w:pPr>
        <w:spacing w:line="360" w:lineRule="auto"/>
        <w:ind w:firstLine="495" w:firstLineChars="236"/>
        <w:outlineLvl w:val="5"/>
        <w:rPr>
          <w:rFonts w:ascii="宋体" w:hAnsi="宋体" w:cs="宋体"/>
          <w:color w:val="auto"/>
          <w:szCs w:val="21"/>
          <w:highlight w:val="none"/>
          <w:lang w:bidi="ar"/>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1.1.8阀门要求：不锈钢风阀，禁油处理。</w:t>
      </w:r>
    </w:p>
    <w:p w14:paraId="114C2594">
      <w:pPr>
        <w:spacing w:line="360" w:lineRule="auto"/>
        <w:ind w:firstLine="495" w:firstLineChars="236"/>
        <w:outlineLvl w:val="4"/>
        <w:rPr>
          <w:rFonts w:ascii="宋体" w:hAnsi="宋体" w:cs="宋体"/>
          <w:color w:val="auto"/>
          <w:szCs w:val="21"/>
          <w:highlight w:val="none"/>
          <w:lang w:bidi="ar"/>
        </w:rPr>
      </w:pPr>
      <w:r>
        <w:rPr>
          <w:rFonts w:hint="eastAsia" w:ascii="宋体" w:hAnsi="宋体" w:cs="宋体"/>
          <w:color w:val="auto"/>
          <w:szCs w:val="21"/>
          <w:highlight w:val="none"/>
          <w:lang w:eastAsia="zh" w:bidi="ar"/>
        </w:rPr>
        <w:t>3.11.</w:t>
      </w:r>
      <w:r>
        <w:rPr>
          <w:rFonts w:hint="eastAsia" w:ascii="宋体" w:hAnsi="宋体" w:cs="宋体"/>
          <w:color w:val="auto"/>
          <w:szCs w:val="21"/>
          <w:highlight w:val="none"/>
          <w:lang w:bidi="ar"/>
        </w:rPr>
        <w:t xml:space="preserve">2 </w:t>
      </w:r>
      <w:r>
        <w:rPr>
          <w:rFonts w:hint="eastAsia" w:ascii="宋体" w:hAnsi="宋体" w:cs="宋体"/>
          <w:b/>
          <w:bCs/>
          <w:color w:val="auto"/>
          <w:szCs w:val="21"/>
          <w:highlight w:val="none"/>
          <w:lang w:bidi="ar"/>
        </w:rPr>
        <w:t>石墨盘清洗装置</w:t>
      </w:r>
    </w:p>
    <w:p w14:paraId="40AB14FB">
      <w:pPr>
        <w:spacing w:line="360" w:lineRule="auto"/>
        <w:ind w:firstLine="495" w:firstLineChars="236"/>
        <w:outlineLvl w:val="5"/>
        <w:rPr>
          <w:rFonts w:ascii="宋体" w:hAnsi="宋体" w:cs="宋体"/>
          <w:color w:val="auto"/>
          <w:szCs w:val="21"/>
          <w:highlight w:val="none"/>
          <w:lang w:bidi="ar"/>
        </w:rPr>
      </w:pPr>
      <w:r>
        <w:rPr>
          <w:rFonts w:hint="eastAsia" w:ascii="宋体" w:hAnsi="宋体" w:cs="宋体"/>
          <w:color w:val="auto"/>
          <w:szCs w:val="21"/>
          <w:highlight w:val="none"/>
          <w:lang w:eastAsia="zh" w:bidi="ar"/>
        </w:rPr>
        <w:t>3.11.</w:t>
      </w:r>
      <w:r>
        <w:rPr>
          <w:rFonts w:hint="eastAsia" w:ascii="宋体" w:hAnsi="宋体" w:cs="宋体"/>
          <w:color w:val="auto"/>
          <w:szCs w:val="21"/>
          <w:highlight w:val="none"/>
          <w:lang w:bidi="ar"/>
        </w:rPr>
        <w:t>2</w:t>
      </w:r>
      <w:r>
        <w:rPr>
          <w:rFonts w:hint="eastAsia" w:ascii="宋体" w:hAnsi="宋体" w:cs="宋体"/>
          <w:color w:val="auto"/>
          <w:szCs w:val="21"/>
          <w:highlight w:val="none"/>
          <w:lang w:eastAsia="zh" w:bidi="ar"/>
        </w:rPr>
        <w:t>.1 用途：用于</w:t>
      </w:r>
      <w:r>
        <w:rPr>
          <w:rFonts w:hint="eastAsia" w:ascii="宋体" w:hAnsi="宋体" w:cs="宋体"/>
          <w:color w:val="auto"/>
          <w:szCs w:val="21"/>
          <w:highlight w:val="none"/>
          <w:lang w:bidi="ar"/>
        </w:rPr>
        <w:t>MOCVD生长后石墨盘</w:t>
      </w:r>
      <w:r>
        <w:rPr>
          <w:rFonts w:hint="eastAsia" w:ascii="宋体" w:hAnsi="宋体" w:cs="宋体"/>
          <w:color w:val="auto"/>
          <w:szCs w:val="21"/>
          <w:highlight w:val="none"/>
          <w:lang w:eastAsia="zh" w:bidi="ar"/>
          <w:woUserID w:val="2"/>
        </w:rPr>
        <w:t>及石墨件</w:t>
      </w:r>
      <w:r>
        <w:rPr>
          <w:rFonts w:hint="eastAsia" w:ascii="宋体" w:hAnsi="宋体" w:cs="宋体"/>
          <w:color w:val="auto"/>
          <w:szCs w:val="21"/>
          <w:highlight w:val="none"/>
          <w:lang w:bidi="ar"/>
        </w:rPr>
        <w:t>清洗（烤盘炉）</w:t>
      </w:r>
    </w:p>
    <w:p w14:paraId="3FA888E2">
      <w:pPr>
        <w:spacing w:line="360" w:lineRule="auto"/>
        <w:ind w:firstLine="495" w:firstLineChars="236"/>
        <w:outlineLvl w:val="5"/>
        <w:rPr>
          <w:rFonts w:ascii="宋体" w:hAnsi="宋体" w:cs="宋体"/>
          <w:color w:val="auto"/>
          <w:szCs w:val="21"/>
          <w:highlight w:val="none"/>
          <w:lang w:bidi="ar"/>
        </w:rPr>
      </w:pPr>
      <w:r>
        <w:rPr>
          <w:rFonts w:hint="eastAsia" w:ascii="宋体" w:hAnsi="宋体" w:cs="宋体"/>
          <w:color w:val="auto"/>
          <w:szCs w:val="21"/>
          <w:highlight w:val="none"/>
          <w:lang w:eastAsia="zh" w:bidi="ar"/>
        </w:rPr>
        <w:t>3.11.</w:t>
      </w:r>
      <w:r>
        <w:rPr>
          <w:rFonts w:hint="eastAsia" w:ascii="宋体" w:hAnsi="宋体" w:cs="宋体"/>
          <w:color w:val="auto"/>
          <w:szCs w:val="21"/>
          <w:highlight w:val="none"/>
          <w:lang w:bidi="ar"/>
        </w:rPr>
        <w:t>2</w:t>
      </w:r>
      <w:r>
        <w:rPr>
          <w:rFonts w:hint="eastAsia" w:ascii="宋体" w:hAnsi="宋体" w:cs="宋体"/>
          <w:color w:val="auto"/>
          <w:szCs w:val="21"/>
          <w:highlight w:val="none"/>
          <w:lang w:eastAsia="zh" w:bidi="ar"/>
        </w:rPr>
        <w:t>.2</w:t>
      </w:r>
      <w:r>
        <w:rPr>
          <w:rFonts w:hint="eastAsia" w:ascii="宋体" w:hAnsi="宋体" w:cs="宋体"/>
          <w:color w:val="auto"/>
          <w:szCs w:val="21"/>
          <w:highlight w:val="none"/>
          <w:lang w:bidi="ar"/>
        </w:rPr>
        <w:t xml:space="preserve"> 数量：一台用于GaN GaO,一台用于GaAs,InP</w:t>
      </w:r>
    </w:p>
    <w:p w14:paraId="7C039EE5">
      <w:pPr>
        <w:spacing w:line="360" w:lineRule="auto"/>
        <w:ind w:firstLine="495" w:firstLineChars="236"/>
        <w:outlineLvl w:val="5"/>
        <w:rPr>
          <w:rFonts w:ascii="宋体" w:hAnsi="宋体" w:cs="宋体"/>
          <w:color w:val="auto"/>
          <w:szCs w:val="21"/>
          <w:highlight w:val="none"/>
          <w:lang w:bidi="ar"/>
        </w:rPr>
      </w:pPr>
      <w:r>
        <w:rPr>
          <w:rFonts w:hint="eastAsia" w:ascii="宋体" w:hAnsi="宋体" w:cs="宋体"/>
          <w:color w:val="auto"/>
          <w:szCs w:val="21"/>
          <w:highlight w:val="none"/>
          <w:lang w:bidi="ar"/>
        </w:rPr>
        <w:t>3.11.2.3 规格：</w:t>
      </w:r>
    </w:p>
    <w:p w14:paraId="7E814630">
      <w:pPr>
        <w:spacing w:line="360" w:lineRule="auto"/>
        <w:ind w:firstLine="495" w:firstLineChars="236"/>
        <w:outlineLvl w:val="5"/>
        <w:rPr>
          <w:rFonts w:ascii="宋体" w:hAnsi="宋体" w:cs="宋体"/>
          <w:color w:val="auto"/>
          <w:szCs w:val="21"/>
          <w:highlight w:val="none"/>
          <w:lang w:bidi="ar"/>
        </w:rPr>
      </w:pPr>
      <w:r>
        <w:rPr>
          <w:rFonts w:hint="eastAsia" w:ascii="宋体" w:hAnsi="宋体" w:cs="宋体"/>
          <w:color w:val="auto"/>
          <w:szCs w:val="21"/>
          <w:highlight w:val="none"/>
          <w:lang w:bidi="ar"/>
        </w:rPr>
        <w:t>GaN GaO最大可处理直径400mm的石墨盘，</w:t>
      </w:r>
      <w:r>
        <w:rPr>
          <w:rFonts w:hint="eastAsia" w:ascii="宋体" w:hAnsi="宋体" w:cs="宋体"/>
          <w:color w:val="auto"/>
          <w:szCs w:val="21"/>
          <w:highlight w:val="none"/>
          <w:lang w:eastAsia="zh" w:bidi="ar"/>
          <w:woUserID w:val="2"/>
        </w:rPr>
        <w:t>工艺温度：1000</w:t>
      </w:r>
      <w:r>
        <w:rPr>
          <w:rFonts w:hint="eastAsia" w:ascii="宋体" w:hAnsi="宋体" w:cs="宋体"/>
          <w:color w:val="auto"/>
          <w:szCs w:val="21"/>
          <w:highlight w:val="none"/>
          <w:lang w:bidi="ar"/>
          <w:woUserID w:val="2"/>
        </w:rPr>
        <w:t>℃</w:t>
      </w:r>
      <w:r>
        <w:rPr>
          <w:rFonts w:hint="eastAsia" w:ascii="宋体" w:hAnsi="宋体" w:cs="宋体"/>
          <w:color w:val="auto"/>
          <w:szCs w:val="21"/>
          <w:highlight w:val="none"/>
          <w:lang w:eastAsia="zh" w:bidi="ar"/>
          <w:woUserID w:val="2"/>
        </w:rPr>
        <w:t>，</w:t>
      </w:r>
      <w:r>
        <w:rPr>
          <w:rFonts w:hint="eastAsia" w:ascii="宋体" w:hAnsi="宋体" w:cs="宋体"/>
          <w:color w:val="auto"/>
          <w:szCs w:val="21"/>
          <w:highlight w:val="none"/>
          <w:lang w:bidi="ar"/>
          <w:woUserID w:val="2"/>
        </w:rPr>
        <w:t xml:space="preserve">真空度 :&lt; </w:t>
      </w:r>
      <w:r>
        <w:rPr>
          <w:rFonts w:hint="eastAsia" w:ascii="宋体" w:hAnsi="宋体" w:cs="宋体"/>
          <w:color w:val="auto"/>
          <w:szCs w:val="21"/>
          <w:highlight w:val="none"/>
          <w:lang w:eastAsia="zh" w:bidi="ar"/>
          <w:woUserID w:val="2"/>
        </w:rPr>
        <w:t>3 Pa</w:t>
      </w:r>
      <w:r>
        <w:rPr>
          <w:rFonts w:hint="eastAsia" w:ascii="宋体" w:hAnsi="宋体" w:cs="宋体"/>
          <w:color w:val="auto"/>
          <w:szCs w:val="21"/>
          <w:highlight w:val="none"/>
          <w:lang w:bidi="ar"/>
          <w:woUserID w:val="2"/>
        </w:rPr>
        <w:t>；温度均匀性:±5℃@</w:t>
      </w:r>
      <w:r>
        <w:rPr>
          <w:rFonts w:hint="eastAsia" w:ascii="宋体" w:hAnsi="宋体" w:cs="宋体"/>
          <w:color w:val="auto"/>
          <w:szCs w:val="21"/>
          <w:highlight w:val="none"/>
          <w:lang w:eastAsia="zh" w:bidi="ar"/>
          <w:woUserID w:val="2"/>
        </w:rPr>
        <w:t>950，</w:t>
      </w:r>
      <w:r>
        <w:rPr>
          <w:rFonts w:hint="eastAsia" w:ascii="宋体" w:hAnsi="宋体" w:cs="宋体"/>
          <w:color w:val="auto"/>
          <w:szCs w:val="21"/>
          <w:highlight w:val="none"/>
          <w:lang w:bidi="ar"/>
        </w:rPr>
        <w:t>氯化氢烤盘炉；</w:t>
      </w:r>
      <w:r>
        <w:rPr>
          <w:rFonts w:ascii="宋体" w:hAnsi="宋体" w:cs="宋体"/>
          <w:color w:val="auto"/>
          <w:szCs w:val="21"/>
          <w:highlight w:val="none"/>
          <w:lang w:bidi="ar"/>
        </w:rPr>
        <w:t xml:space="preserve"> </w:t>
      </w:r>
    </w:p>
    <w:p w14:paraId="1FBE5415">
      <w:pPr>
        <w:spacing w:line="360" w:lineRule="auto"/>
        <w:ind w:firstLine="495" w:firstLineChars="236"/>
        <w:outlineLvl w:val="5"/>
        <w:rPr>
          <w:rFonts w:ascii="宋体" w:hAnsi="宋体" w:cs="宋体"/>
          <w:color w:val="auto"/>
          <w:szCs w:val="21"/>
          <w:highlight w:val="none"/>
          <w:lang w:bidi="ar"/>
        </w:rPr>
      </w:pPr>
      <w:r>
        <w:rPr>
          <w:rFonts w:hint="eastAsia" w:ascii="宋体" w:hAnsi="宋体" w:cs="宋体"/>
          <w:color w:val="auto"/>
          <w:szCs w:val="21"/>
          <w:highlight w:val="none"/>
          <w:lang w:bidi="ar"/>
        </w:rPr>
        <w:t>GaAs,InP</w:t>
      </w:r>
      <w:r>
        <w:rPr>
          <w:rFonts w:ascii="宋体" w:hAnsi="宋体" w:cs="宋体"/>
          <w:color w:val="auto"/>
          <w:szCs w:val="21"/>
          <w:highlight w:val="none"/>
          <w:lang w:bidi="ar"/>
        </w:rPr>
        <w:t>可放置直径Ø</w:t>
      </w:r>
      <w:r>
        <w:rPr>
          <w:rFonts w:hint="eastAsia" w:ascii="宋体" w:hAnsi="宋体" w:cs="宋体"/>
          <w:color w:val="auto"/>
          <w:szCs w:val="21"/>
          <w:highlight w:val="none"/>
          <w:lang w:eastAsia="zh" w:bidi="ar"/>
          <w:woUserID w:val="4"/>
        </w:rPr>
        <w:t>8</w:t>
      </w:r>
      <w:r>
        <w:rPr>
          <w:rFonts w:hint="eastAsia" w:ascii="宋体" w:hAnsi="宋体" w:cs="宋体"/>
          <w:color w:val="auto"/>
          <w:szCs w:val="21"/>
          <w:highlight w:val="none"/>
          <w:lang w:bidi="ar"/>
        </w:rPr>
        <w:t>0</w:t>
      </w:r>
      <w:r>
        <w:rPr>
          <w:rFonts w:ascii="宋体" w:hAnsi="宋体" w:cs="宋体"/>
          <w:color w:val="auto"/>
          <w:szCs w:val="21"/>
          <w:highlight w:val="none"/>
          <w:lang w:bidi="ar"/>
        </w:rPr>
        <w:t>0mm的</w:t>
      </w:r>
      <w:r>
        <w:rPr>
          <w:rFonts w:hint="eastAsia" w:ascii="宋体" w:hAnsi="宋体" w:cs="宋体"/>
          <w:color w:val="auto"/>
          <w:szCs w:val="21"/>
          <w:highlight w:val="none"/>
          <w:lang w:bidi="ar"/>
        </w:rPr>
        <w:t>石墨件</w:t>
      </w:r>
      <w:r>
        <w:rPr>
          <w:rFonts w:hint="eastAsia" w:ascii="宋体" w:hAnsi="宋体" w:cs="宋体"/>
          <w:color w:val="auto"/>
          <w:szCs w:val="21"/>
          <w:highlight w:val="none"/>
          <w:lang w:eastAsia="zh" w:bidi="ar"/>
          <w:woUserID w:val="5"/>
        </w:rPr>
        <w:t>，腔体尺寸大于φ800mm*L1000mm</w:t>
      </w:r>
      <w:r>
        <w:rPr>
          <w:rFonts w:hint="eastAsia" w:ascii="宋体" w:hAnsi="宋体" w:cs="宋体"/>
          <w:color w:val="auto"/>
          <w:szCs w:val="21"/>
          <w:highlight w:val="none"/>
          <w:lang w:bidi="ar"/>
        </w:rPr>
        <w:t>。最高温:1400℃,升温速率大于12℃/min；真空度 :&lt; 2E-2Torr；温度均匀性:±5℃@1400℃。</w:t>
      </w:r>
    </w:p>
    <w:p w14:paraId="3F56E870">
      <w:pPr>
        <w:spacing w:line="360" w:lineRule="auto"/>
        <w:ind w:firstLine="495" w:firstLineChars="236"/>
        <w:outlineLvl w:val="5"/>
        <w:rPr>
          <w:rFonts w:hint="eastAsia" w:ascii="宋体" w:hAnsi="宋体" w:cs="宋体"/>
          <w:color w:val="auto"/>
          <w:szCs w:val="21"/>
          <w:highlight w:val="none"/>
          <w:lang w:eastAsia="zh" w:bidi="ar"/>
          <w:woUserID w:val="5"/>
        </w:rPr>
      </w:pPr>
      <w:r>
        <w:rPr>
          <w:rFonts w:hint="eastAsia" w:ascii="宋体" w:hAnsi="宋体" w:cs="宋体"/>
          <w:color w:val="auto"/>
          <w:szCs w:val="21"/>
          <w:highlight w:val="none"/>
          <w:lang w:bidi="ar"/>
        </w:rPr>
        <w:t xml:space="preserve">3.11.2.4 </w:t>
      </w:r>
      <w:r>
        <w:rPr>
          <w:rFonts w:hint="eastAsia" w:ascii="宋体" w:hAnsi="宋体" w:cs="宋体"/>
          <w:color w:val="auto"/>
          <w:szCs w:val="21"/>
          <w:highlight w:val="none"/>
          <w:lang w:eastAsia="zh" w:bidi="ar"/>
          <w:woUserID w:val="5"/>
        </w:rPr>
        <w:t>烤盘区门口需设置隔离帘，房间内配置呼吸用CDA接头</w:t>
      </w:r>
      <w:r>
        <w:rPr>
          <w:rFonts w:hint="eastAsia" w:ascii="宋体" w:hAnsi="宋体" w:cs="宋体"/>
          <w:color w:val="auto"/>
          <w:szCs w:val="21"/>
          <w:highlight w:val="none"/>
          <w:lang w:eastAsia="zh" w:bidi="ar"/>
          <w:woUserID w:val="2"/>
        </w:rPr>
        <w:t>和呼吸用空压机</w:t>
      </w:r>
      <w:r>
        <w:rPr>
          <w:rFonts w:hint="eastAsia" w:ascii="宋体" w:hAnsi="宋体" w:cs="宋体"/>
          <w:color w:val="auto"/>
          <w:szCs w:val="21"/>
          <w:highlight w:val="none"/>
          <w:lang w:eastAsia="zh" w:bidi="ar"/>
          <w:woUserID w:val="5"/>
        </w:rPr>
        <w:t>。</w:t>
      </w:r>
    </w:p>
    <w:p w14:paraId="531E0201">
      <w:pPr>
        <w:spacing w:line="360" w:lineRule="auto"/>
        <w:ind w:firstLine="495" w:firstLineChars="236"/>
        <w:outlineLvl w:val="5"/>
        <w:rPr>
          <w:rFonts w:hint="default"/>
          <w:color w:val="auto"/>
          <w:highlight w:val="none"/>
          <w:lang w:val="en-US" w:eastAsia="zh-CN"/>
        </w:rPr>
      </w:pPr>
      <w:r>
        <w:rPr>
          <w:rFonts w:hint="eastAsia" w:ascii="宋体" w:hAnsi="宋体" w:eastAsia="宋体" w:cs="宋体"/>
          <w:color w:val="auto"/>
          <w:szCs w:val="21"/>
          <w:highlight w:val="none"/>
          <w:lang w:bidi="ar"/>
        </w:rPr>
        <w:t>3.11.2.</w:t>
      </w:r>
      <w:r>
        <w:rPr>
          <w:rFonts w:hint="eastAsia" w:ascii="宋体" w:hAnsi="宋体" w:eastAsia="宋体" w:cs="宋体"/>
          <w:color w:val="auto"/>
          <w:szCs w:val="21"/>
          <w:highlight w:val="none"/>
          <w:lang w:eastAsia="zh" w:bidi="ar"/>
          <w:woUserID w:val="5"/>
        </w:rPr>
        <w:t xml:space="preserve">5 </w:t>
      </w:r>
      <w:r>
        <w:rPr>
          <w:rFonts w:hint="eastAsia" w:ascii="宋体" w:hAnsi="宋体" w:cs="宋体"/>
          <w:color w:val="auto"/>
          <w:szCs w:val="21"/>
          <w:highlight w:val="none"/>
          <w:lang w:val="en-US" w:eastAsia="zh-CN" w:bidi="ar"/>
          <w:woUserID w:val="5"/>
        </w:rPr>
        <w:t>二次配工程</w:t>
      </w:r>
      <w:r>
        <w:rPr>
          <w:rFonts w:hint="eastAsia" w:ascii="宋体" w:hAnsi="宋体" w:eastAsia="宋体" w:cs="宋体"/>
          <w:color w:val="auto"/>
          <w:szCs w:val="21"/>
          <w:highlight w:val="none"/>
          <w:lang w:eastAsia="zh" w:bidi="ar"/>
          <w:woUserID w:val="5"/>
        </w:rPr>
        <w:t>材质</w:t>
      </w:r>
      <w:r>
        <w:rPr>
          <w:rFonts w:hint="eastAsia" w:ascii="宋体" w:hAnsi="宋体" w:cs="宋体"/>
          <w:color w:val="auto"/>
          <w:szCs w:val="21"/>
          <w:highlight w:val="none"/>
          <w:lang w:val="en-US" w:eastAsia="zh-CN" w:bidi="ar"/>
          <w:woUserID w:val="5"/>
        </w:rPr>
        <w:t>及其他</w:t>
      </w:r>
      <w:r>
        <w:rPr>
          <w:rFonts w:hint="eastAsia" w:ascii="宋体" w:hAnsi="宋体" w:eastAsia="宋体" w:cs="宋体"/>
          <w:color w:val="auto"/>
          <w:szCs w:val="21"/>
          <w:highlight w:val="none"/>
          <w:lang w:eastAsia="zh" w:bidi="ar"/>
          <w:woUserID w:val="5"/>
        </w:rPr>
        <w:t>要求：同</w:t>
      </w:r>
      <w:r>
        <w:rPr>
          <w:rFonts w:hint="eastAsia" w:ascii="宋体" w:hAnsi="宋体" w:cs="宋体"/>
          <w:color w:val="auto"/>
          <w:szCs w:val="21"/>
          <w:highlight w:val="none"/>
          <w:lang w:val="en-US" w:eastAsia="zh-CN" w:bidi="ar"/>
          <w:woUserID w:val="5"/>
        </w:rPr>
        <w:t>3.1节~3.11节；</w:t>
      </w:r>
      <w:r>
        <w:rPr>
          <w:rFonts w:hint="eastAsia" w:ascii="宋体" w:hAnsi="宋体" w:cs="宋体"/>
          <w:color w:val="auto"/>
          <w:szCs w:val="21"/>
          <w:highlight w:val="none"/>
          <w:lang w:bidi="ar"/>
        </w:rPr>
        <w:t>GaN GaO</w:t>
      </w:r>
      <w:r>
        <w:rPr>
          <w:rFonts w:hint="eastAsia" w:ascii="宋体" w:hAnsi="宋体" w:cs="宋体"/>
          <w:color w:val="auto"/>
          <w:szCs w:val="21"/>
          <w:highlight w:val="none"/>
          <w:lang w:val="en-US" w:eastAsia="zh-CN" w:bidi="ar"/>
        </w:rPr>
        <w:t>烤盘炉根据厂务需求表，需要HCL气体，须在二次配项目范围内增加HCL气柜，VMB（一进2出），具体位置详见工艺设备布局图。</w:t>
      </w:r>
    </w:p>
    <w:p w14:paraId="313204AC">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1.3施工要求</w:t>
      </w:r>
    </w:p>
    <w:p w14:paraId="5045662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1.3.1机台点连接要求：机台需求点用不锈钢真空波纹管连接，波纹管以上用SUS304L硬管连接；当盘面到机台连接点接头不符时厂商应负责提供适合的转接头。</w:t>
      </w:r>
    </w:p>
    <w:p w14:paraId="6ACA605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1.3.2原则上真空管路安装在灰区吊顶以下。真空管道连接方式为焊接连接，除弯头、三通、直管，其他配件均需成品配件，场外预制厂内组装。</w:t>
      </w:r>
    </w:p>
    <w:p w14:paraId="5A2C924D">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1.3.3挂牌要求：对Take off点出口手阀上除贴标签外，还需对所有Take off点进行挂牌标示，注明其供应端设备的编号。施工中应在手阀上挂常闭挂牌，turn on后更换为常开挂牌。</w:t>
      </w:r>
    </w:p>
    <w:p w14:paraId="7178E1D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1.3.4标签要求：管线沿途每2米、每个转弯处及设备连接处应张贴标签，标签张贴位置应便于现场查找，标签纸宽度和大小应符合所在处管线管径，易辨认、不脱落。标签内容包括动力源名称和流动方向，由施工方根据现场情况综合考虑，在管线沿途和防护上设置各种必要的警示，格式和色彩必须符合业主方安环部门对于警示标签的规定。</w:t>
      </w:r>
    </w:p>
    <w:p w14:paraId="4ADE0333">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1.3.5图纸要求：施工方于施工前提交施工图，经业主方确认后才可以施工。施工完成后应立即提交完工图，完工图必须体现管路起点、终点、长度、使用材料等。</w:t>
      </w:r>
    </w:p>
    <w:p w14:paraId="01492799">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1.3.6施工方负责设计、安装、测试验收和管路修改（在安装和保修期）。</w:t>
      </w:r>
    </w:p>
    <w:p w14:paraId="10BFA761">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1.3.7施工方必须提供详细的施工方方案，包括并不限于进度管理表、焊接工艺规范、管道弯曲流程及规范、管道切割面处理、安全管理规范等。</w:t>
      </w:r>
    </w:p>
    <w:p w14:paraId="36309516">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1.3.8当天焊接施工前，针对不同材质或尺寸的管路均需预先制作焊样，并提供管路剖析样本，样本必须标注焊机型号、焊接技师姓名、管材、尺寸和焊接日期时间。待验收通过后才能开始正式焊接。</w:t>
      </w:r>
    </w:p>
    <w:p w14:paraId="18F484BC">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1.3.9焊接完成后，应趁管材还有余热时，迅速消除氧化膜（使用专用的刷具）。</w:t>
      </w:r>
    </w:p>
    <w:p w14:paraId="41040D8B">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1.3.10焊接完成后，应在管材的开口部，对应管材的口径盖好树脂制盖帽。</w:t>
      </w:r>
    </w:p>
    <w:p w14:paraId="041BBEB6">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1.3.11为所有未使用的管路及阀件提供管帽或盲板连接，防止管路或阀件污染。</w:t>
      </w:r>
    </w:p>
    <w:p w14:paraId="6F4D7445">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1.3.12因施工方违反施工要求导致的质量问题，施工方应无条件服从整改要求，直至满足业主方要求。并承担因此对业主方造成的损失。</w:t>
      </w:r>
    </w:p>
    <w:p w14:paraId="10B6C610">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1.3.13安全要求：hookup的材料和施工必须是专业和安全的，必须完全符合中国和国际标准，在设计、预制和配管施工时须遵守施工地区标准、中国国家标准和国际标准。如果相关标准有差异，采用其中更严格的标准。在施工过程中，施工方须遵守安全规范和业主方本身的相关规范和规定。</w:t>
      </w:r>
    </w:p>
    <w:p w14:paraId="7FD55FEB">
      <w:pPr>
        <w:spacing w:line="360" w:lineRule="auto"/>
        <w:ind w:firstLine="495" w:firstLineChars="236"/>
        <w:outlineLvl w:val="5"/>
        <w:rPr>
          <w:rFonts w:hint="eastAsia" w:ascii="宋体" w:hAnsi="宋体" w:cs="宋体"/>
          <w:color w:val="auto"/>
          <w:szCs w:val="21"/>
          <w:highlight w:val="none"/>
        </w:rPr>
      </w:pP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 w:bidi="ar"/>
        </w:rPr>
        <w:t>1</w:t>
      </w:r>
      <w:r>
        <w:rPr>
          <w:rFonts w:hint="eastAsia" w:ascii="宋体" w:hAnsi="宋体" w:cs="宋体"/>
          <w:color w:val="auto"/>
          <w:szCs w:val="21"/>
          <w:highlight w:val="none"/>
          <w:lang w:bidi="ar"/>
        </w:rPr>
        <w:t>1.3.14支吊架、防护、标签与警示</w:t>
      </w:r>
    </w:p>
    <w:p w14:paraId="6D7D51A6">
      <w:pPr>
        <w:spacing w:line="360" w:lineRule="auto"/>
        <w:ind w:firstLine="495" w:firstLineChars="236"/>
        <w:rPr>
          <w:rFonts w:ascii="宋体" w:hAnsi="宋体" w:cs="宋体"/>
          <w:color w:val="auto"/>
          <w:szCs w:val="21"/>
          <w:highlight w:val="none"/>
          <w:lang w:bidi="ar"/>
        </w:rPr>
      </w:pPr>
      <w:r>
        <w:rPr>
          <w:rFonts w:hint="eastAsia" w:ascii="宋体" w:hAnsi="宋体" w:cs="宋体"/>
          <w:color w:val="auto"/>
          <w:szCs w:val="21"/>
          <w:highlight w:val="none"/>
          <w:lang w:bidi="ar"/>
        </w:rPr>
        <w:t>按国家规范和业主方要求做好标识、防护、警示。</w:t>
      </w:r>
    </w:p>
    <w:p w14:paraId="1C0D41BD">
      <w:pPr>
        <w:spacing w:line="360" w:lineRule="auto"/>
        <w:ind w:firstLine="498" w:firstLineChars="236"/>
        <w:outlineLvl w:val="3"/>
        <w:rPr>
          <w:rFonts w:hint="eastAsia" w:ascii="宋体" w:hAnsi="宋体" w:cs="宋体"/>
          <w:b/>
          <w:bCs/>
          <w:color w:val="auto"/>
          <w:szCs w:val="21"/>
          <w:highlight w:val="none"/>
          <w:lang w:eastAsia="zh" w:bidi="ar"/>
        </w:rPr>
      </w:pPr>
      <w:r>
        <w:rPr>
          <w:rFonts w:hint="eastAsia" w:ascii="宋体" w:hAnsi="宋体" w:cs="宋体"/>
          <w:b/>
          <w:bCs/>
          <w:color w:val="auto"/>
          <w:szCs w:val="21"/>
          <w:highlight w:val="none"/>
          <w:lang w:eastAsia="zh" w:bidi="ar"/>
        </w:rPr>
        <w:t>3.1</w:t>
      </w:r>
      <w:r>
        <w:rPr>
          <w:rFonts w:hint="eastAsia" w:ascii="宋体" w:hAnsi="宋体" w:cs="宋体"/>
          <w:b/>
          <w:bCs/>
          <w:color w:val="auto"/>
          <w:szCs w:val="21"/>
          <w:highlight w:val="none"/>
          <w:lang w:bidi="ar"/>
        </w:rPr>
        <w:t>2</w:t>
      </w:r>
      <w:r>
        <w:rPr>
          <w:rFonts w:hint="eastAsia" w:ascii="宋体" w:hAnsi="宋体" w:cs="宋体"/>
          <w:b/>
          <w:bCs/>
          <w:color w:val="auto"/>
          <w:szCs w:val="21"/>
          <w:highlight w:val="none"/>
          <w:lang w:eastAsia="zh" w:bidi="ar"/>
        </w:rPr>
        <w:t>办公设施连接、零星改造、智能化展示等</w:t>
      </w:r>
    </w:p>
    <w:p w14:paraId="247ACDEF">
      <w:pPr>
        <w:widowControl/>
        <w:spacing w:line="360" w:lineRule="auto"/>
        <w:ind w:firstLine="437"/>
        <w:jc w:val="left"/>
        <w:rPr>
          <w:rFonts w:hint="eastAsia" w:ascii="宋体" w:hAnsi="宋体" w:cs="宋体"/>
          <w:color w:val="auto"/>
          <w:szCs w:val="21"/>
          <w:highlight w:val="none"/>
        </w:rPr>
      </w:pPr>
      <w:r>
        <w:rPr>
          <w:rFonts w:hint="eastAsia" w:ascii="宋体" w:hAnsi="宋体" w:cs="宋体"/>
          <w:color w:val="auto"/>
          <w:szCs w:val="21"/>
          <w:highlight w:val="none"/>
        </w:rPr>
        <w:t>办公设施连接：无尘车间内</w:t>
      </w:r>
      <w:r>
        <w:rPr>
          <w:rFonts w:hint="eastAsia" w:ascii="宋体" w:hAnsi="宋体" w:cs="宋体"/>
          <w:color w:val="auto"/>
          <w:szCs w:val="21"/>
          <w:highlight w:val="none"/>
          <w:lang w:eastAsia="zh"/>
          <w:woUserID w:val="2"/>
        </w:rPr>
        <w:t>办公</w:t>
      </w:r>
      <w:r>
        <w:rPr>
          <w:rFonts w:hint="eastAsia" w:ascii="宋体" w:hAnsi="宋体" w:cs="宋体"/>
          <w:color w:val="auto"/>
          <w:szCs w:val="21"/>
          <w:highlight w:val="none"/>
        </w:rPr>
        <w:t>电脑、打印机</w:t>
      </w:r>
      <w:r>
        <w:rPr>
          <w:rFonts w:hint="eastAsia" w:ascii="宋体" w:hAnsi="宋体" w:cs="宋体"/>
          <w:color w:val="auto"/>
          <w:szCs w:val="21"/>
          <w:highlight w:val="none"/>
          <w:lang w:eastAsia="zh"/>
          <w:woUserID w:val="1"/>
        </w:rPr>
        <w:t>、鞋柜更衣柜排风</w:t>
      </w:r>
      <w:r>
        <w:rPr>
          <w:rFonts w:hint="eastAsia" w:ascii="宋体" w:hAnsi="宋体" w:cs="宋体"/>
          <w:color w:val="auto"/>
          <w:szCs w:val="21"/>
          <w:highlight w:val="none"/>
        </w:rPr>
        <w:t>等系统连接；</w:t>
      </w:r>
    </w:p>
    <w:p w14:paraId="7785C208">
      <w:pPr>
        <w:widowControl/>
        <w:spacing w:line="360" w:lineRule="auto"/>
        <w:ind w:firstLine="437"/>
        <w:jc w:val="left"/>
        <w:rPr>
          <w:rFonts w:hint="eastAsia" w:ascii="宋体" w:hAnsi="宋体" w:eastAsia="宋体" w:cs="宋体"/>
          <w:color w:val="auto"/>
          <w:szCs w:val="21"/>
          <w:highlight w:val="none"/>
          <w:lang w:eastAsia="zh"/>
          <w:woUserID w:val="1"/>
        </w:rPr>
      </w:pPr>
      <w:r>
        <w:rPr>
          <w:rFonts w:hint="eastAsia" w:ascii="宋体" w:hAnsi="宋体" w:eastAsia="宋体" w:cs="宋体"/>
          <w:color w:val="auto"/>
          <w:szCs w:val="21"/>
          <w:highlight w:val="none"/>
          <w:lang w:eastAsia="zh"/>
        </w:rPr>
        <w:t>零星改造：</w:t>
      </w:r>
      <w:r>
        <w:rPr>
          <w:rFonts w:hint="eastAsia" w:ascii="宋体" w:hAnsi="宋体" w:eastAsia="宋体" w:cs="宋体"/>
          <w:color w:val="auto"/>
          <w:szCs w:val="21"/>
          <w:highlight w:val="none"/>
          <w:lang w:eastAsia="zh"/>
          <w:woUserID w:val="2"/>
        </w:rPr>
        <w:t>施工过程中涉及和一次配冲突的管线、结构等改造；</w:t>
      </w:r>
      <w:r>
        <w:rPr>
          <w:rFonts w:hint="eastAsia" w:ascii="宋体" w:hAnsi="宋体" w:cs="宋体"/>
          <w:color w:val="auto"/>
          <w:szCs w:val="21"/>
          <w:highlight w:val="none"/>
          <w:lang w:eastAsia="zh"/>
          <w:woUserID w:val="1"/>
        </w:rPr>
        <w:t>无窗房间需增加玻璃</w:t>
      </w:r>
      <w:r>
        <w:rPr>
          <w:rFonts w:hint="eastAsia" w:ascii="宋体" w:hAnsi="宋体" w:cs="宋体"/>
          <w:color w:val="auto"/>
          <w:szCs w:val="21"/>
          <w:highlight w:val="none"/>
          <w:lang w:eastAsia="zh"/>
          <w:woUserID w:val="2"/>
        </w:rPr>
        <w:t>展示</w:t>
      </w:r>
      <w:r>
        <w:rPr>
          <w:rFonts w:hint="eastAsia" w:ascii="宋体" w:hAnsi="宋体" w:cs="宋体"/>
          <w:color w:val="auto"/>
          <w:szCs w:val="21"/>
          <w:highlight w:val="none"/>
          <w:lang w:eastAsia="zh"/>
          <w:woUserID w:val="1"/>
        </w:rPr>
        <w:t>窗口，整体效果与一次配一致。</w:t>
      </w:r>
    </w:p>
    <w:p w14:paraId="0CA81E77">
      <w:pPr>
        <w:widowControl/>
        <w:spacing w:line="360" w:lineRule="auto"/>
        <w:ind w:firstLine="437"/>
        <w:jc w:val="left"/>
        <w:rPr>
          <w:rFonts w:ascii="宋体" w:hAnsi="宋体" w:cs="宋体"/>
          <w:strike/>
          <w:dstrike w:val="0"/>
          <w:color w:val="auto"/>
          <w:szCs w:val="21"/>
          <w:highlight w:val="none"/>
          <w:woUserID w:val="2"/>
        </w:rPr>
      </w:pPr>
      <w:r>
        <w:rPr>
          <w:rFonts w:hint="eastAsia" w:ascii="宋体" w:hAnsi="宋体" w:cs="宋体"/>
          <w:color w:val="auto"/>
          <w:szCs w:val="21"/>
          <w:highlight w:val="none"/>
          <w:lang w:eastAsia="zh"/>
        </w:rPr>
        <w:t>智能化展示：包括但不限于超净实验室内</w:t>
      </w:r>
      <w:r>
        <w:rPr>
          <w:rFonts w:hint="eastAsia" w:ascii="宋体" w:hAnsi="宋体" w:cs="宋体"/>
          <w:color w:val="auto"/>
          <w:szCs w:val="21"/>
          <w:highlight w:val="none"/>
          <w:lang w:eastAsia="zh"/>
          <w:woUserID w:val="2"/>
        </w:rPr>
        <w:t>不具备开窗</w:t>
      </w:r>
      <w:r>
        <w:rPr>
          <w:rFonts w:hint="eastAsia" w:ascii="宋体" w:hAnsi="宋体" w:cs="宋体"/>
          <w:color w:val="auto"/>
          <w:szCs w:val="21"/>
          <w:highlight w:val="none"/>
          <w:lang w:eastAsia="zh"/>
        </w:rPr>
        <w:t>房间的设备智能化展示设计与施工</w:t>
      </w:r>
      <w:r>
        <w:rPr>
          <w:rFonts w:hint="eastAsia" w:ascii="宋体" w:hAnsi="宋体" w:cs="宋体"/>
          <w:color w:val="auto"/>
          <w:szCs w:val="21"/>
          <w:highlight w:val="none"/>
          <w:lang w:eastAsia="zh"/>
          <w:woUserID w:val="2"/>
        </w:rPr>
        <w:t>（尺寸</w:t>
      </w:r>
      <w:r>
        <w:rPr>
          <w:rFonts w:hint="eastAsia" w:ascii="宋体" w:hAnsi="宋体" w:cs="宋体"/>
          <w:color w:val="auto"/>
          <w:szCs w:val="21"/>
          <w:highlight w:val="none"/>
          <w:lang w:val="en-US" w:eastAsia="zh-CN"/>
          <w:woUserID w:val="2"/>
        </w:rPr>
        <w:t>100</w:t>
      </w:r>
      <w:r>
        <w:rPr>
          <w:rFonts w:hint="eastAsia" w:ascii="宋体" w:hAnsi="宋体" w:cs="宋体"/>
          <w:color w:val="auto"/>
          <w:szCs w:val="21"/>
          <w:highlight w:val="none"/>
          <w:lang w:eastAsia="zh"/>
          <w:woUserID w:val="2"/>
        </w:rPr>
        <w:t>寸4K高清显示屏1个，与监控系统联动）</w:t>
      </w:r>
      <w:r>
        <w:rPr>
          <w:rFonts w:hint="eastAsia" w:ascii="宋体" w:hAnsi="宋体" w:cs="宋体"/>
          <w:color w:val="auto"/>
          <w:szCs w:val="21"/>
          <w:highlight w:val="none"/>
          <w:lang w:eastAsia="zh"/>
        </w:rPr>
        <w:t>，有参观窗房间的工艺设备展示栏设计与施工</w:t>
      </w:r>
      <w:r>
        <w:rPr>
          <w:rFonts w:hint="eastAsia" w:ascii="宋体" w:hAnsi="宋体" w:cs="宋体"/>
          <w:color w:val="auto"/>
          <w:szCs w:val="21"/>
          <w:highlight w:val="none"/>
          <w:lang w:eastAsia="zh"/>
          <w:woUserID w:val="1"/>
        </w:rPr>
        <w:t>。</w:t>
      </w:r>
    </w:p>
    <w:p w14:paraId="58A9D727">
      <w:pPr>
        <w:spacing w:line="360" w:lineRule="auto"/>
        <w:ind w:firstLine="498" w:firstLineChars="236"/>
        <w:outlineLvl w:val="2"/>
        <w:rPr>
          <w:rFonts w:hint="eastAsia" w:ascii="宋体" w:hAnsi="宋体" w:cs="宋体"/>
          <w:b/>
          <w:bCs/>
          <w:color w:val="auto"/>
          <w:szCs w:val="21"/>
          <w:highlight w:val="none"/>
        </w:rPr>
      </w:pPr>
      <w:bookmarkStart w:id="1073" w:name="_Toc20509"/>
      <w:r>
        <w:rPr>
          <w:rFonts w:hint="eastAsia" w:ascii="宋体" w:hAnsi="宋体" w:cs="宋体"/>
          <w:b/>
          <w:bCs/>
          <w:color w:val="auto"/>
          <w:szCs w:val="21"/>
          <w:highlight w:val="none"/>
          <w:lang w:eastAsia="zh" w:bidi="ar"/>
        </w:rPr>
        <w:t>4</w:t>
      </w:r>
      <w:r>
        <w:rPr>
          <w:rFonts w:hint="eastAsia" w:ascii="宋体" w:hAnsi="宋体" w:cs="宋体"/>
          <w:b/>
          <w:bCs/>
          <w:color w:val="auto"/>
          <w:szCs w:val="21"/>
          <w:highlight w:val="none"/>
          <w:lang w:bidi="ar"/>
        </w:rPr>
        <w:t>、管线规范及安装说明</w:t>
      </w:r>
      <w:bookmarkEnd w:id="1073"/>
    </w:p>
    <w:p w14:paraId="0B13D84A">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eastAsia="zh" w:bidi="ar"/>
        </w:rPr>
        <w:t>4</w:t>
      </w:r>
      <w:r>
        <w:rPr>
          <w:rFonts w:hint="eastAsia" w:ascii="宋体" w:hAnsi="宋体" w:cs="宋体"/>
          <w:color w:val="auto"/>
          <w:szCs w:val="21"/>
          <w:highlight w:val="none"/>
          <w:lang w:bidi="ar"/>
        </w:rPr>
        <w:t>.1管线规范</w:t>
      </w:r>
    </w:p>
    <w:p w14:paraId="175F773F">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4</w:t>
      </w:r>
      <w:r>
        <w:rPr>
          <w:rFonts w:hint="eastAsia" w:ascii="宋体" w:hAnsi="宋体" w:cs="宋体"/>
          <w:color w:val="auto"/>
          <w:szCs w:val="21"/>
          <w:highlight w:val="none"/>
          <w:lang w:bidi="ar"/>
        </w:rPr>
        <w:t>.1.1一般Hookup管线协调优先顺序：</w:t>
      </w:r>
    </w:p>
    <w:p w14:paraId="435F052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HookUp管线协调原则以特殊要求管线为优先（如：真空等管道），“临时让永久”，“动力让重力”，“小管让大管”等为原则。</w:t>
      </w:r>
    </w:p>
    <w:p w14:paraId="570D0EF4">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4</w:t>
      </w:r>
      <w:r>
        <w:rPr>
          <w:rFonts w:hint="eastAsia" w:ascii="宋体" w:hAnsi="宋体" w:cs="宋体"/>
          <w:color w:val="auto"/>
          <w:szCs w:val="21"/>
          <w:highlight w:val="none"/>
          <w:lang w:bidi="ar"/>
        </w:rPr>
        <w:t>.1.2管线配管要预留操作和维修的空间；</w:t>
      </w:r>
    </w:p>
    <w:p w14:paraId="466F9E8B">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4</w:t>
      </w:r>
      <w:r>
        <w:rPr>
          <w:rFonts w:hint="eastAsia" w:ascii="宋体" w:hAnsi="宋体" w:cs="宋体"/>
          <w:color w:val="auto"/>
          <w:szCs w:val="21"/>
          <w:highlight w:val="none"/>
          <w:lang w:bidi="ar"/>
        </w:rPr>
        <w:t>.1.3管线的布置应有正确和可靠的支撑，不应发生管道与其支撑件脱离、管道扭曲、下垂或立管不垂直的现象；</w:t>
      </w:r>
    </w:p>
    <w:p w14:paraId="67DFFE73">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eastAsia="zh" w:bidi="ar"/>
        </w:rPr>
        <w:t>4</w:t>
      </w:r>
      <w:r>
        <w:rPr>
          <w:rFonts w:hint="eastAsia" w:ascii="宋体" w:hAnsi="宋体" w:cs="宋体"/>
          <w:color w:val="auto"/>
          <w:szCs w:val="21"/>
          <w:highlight w:val="none"/>
          <w:lang w:bidi="ar"/>
        </w:rPr>
        <w:t>.2安装说明</w:t>
      </w:r>
    </w:p>
    <w:p w14:paraId="3A44C833">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4</w:t>
      </w:r>
      <w:r>
        <w:rPr>
          <w:rFonts w:hint="eastAsia" w:ascii="宋体" w:hAnsi="宋体" w:cs="宋体"/>
          <w:color w:val="auto"/>
          <w:szCs w:val="21"/>
          <w:highlight w:val="none"/>
          <w:lang w:bidi="ar"/>
        </w:rPr>
        <w:t>.2.1在施行安装前与施工期间，所有采样管及配件必须保持干净，且应防止任何外来物的污染。安装配管所需之管架，固定管架所需之基础螺栓与螺帽，均由承包商供给并装配；</w:t>
      </w:r>
    </w:p>
    <w:p w14:paraId="2B886196">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4</w:t>
      </w:r>
      <w:r>
        <w:rPr>
          <w:rFonts w:hint="eastAsia" w:ascii="宋体" w:hAnsi="宋体" w:cs="宋体"/>
          <w:color w:val="auto"/>
          <w:szCs w:val="21"/>
          <w:highlight w:val="none"/>
          <w:lang w:bidi="ar"/>
        </w:rPr>
        <w:t>.2.2配管加工场必须分为洁净作业场及一般作业场，而其材料放置场等也应以同样方式区别；</w:t>
      </w:r>
    </w:p>
    <w:p w14:paraId="067E2B72">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4</w:t>
      </w:r>
      <w:r>
        <w:rPr>
          <w:rFonts w:hint="eastAsia" w:ascii="宋体" w:hAnsi="宋体" w:cs="宋体"/>
          <w:color w:val="auto"/>
          <w:szCs w:val="21"/>
          <w:highlight w:val="none"/>
          <w:lang w:bidi="ar"/>
        </w:rPr>
        <w:t>.2.3为了保持配管加工场环境的清洁，承包商须指定负责人员管理场内的整理、收拾、清扫；</w:t>
      </w:r>
    </w:p>
    <w:p w14:paraId="048D9901">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eastAsia="zh" w:bidi="ar"/>
        </w:rPr>
        <w:t>4</w:t>
      </w:r>
      <w:r>
        <w:rPr>
          <w:rFonts w:hint="eastAsia" w:ascii="宋体" w:hAnsi="宋体" w:cs="宋体"/>
          <w:color w:val="auto"/>
          <w:szCs w:val="21"/>
          <w:highlight w:val="none"/>
          <w:lang w:bidi="ar"/>
        </w:rPr>
        <w:t>.2.4配管配电作业时，如遇需要有特殊资格人员的工程，必须让有资格者执行。</w:t>
      </w:r>
    </w:p>
    <w:p w14:paraId="6A9BF791">
      <w:pPr>
        <w:numPr>
          <w:ilvl w:val="0"/>
          <w:numId w:val="9"/>
        </w:numPr>
        <w:spacing w:line="360" w:lineRule="auto"/>
        <w:ind w:firstLine="498" w:firstLineChars="236"/>
        <w:outlineLvl w:val="2"/>
        <w:rPr>
          <w:rFonts w:hint="eastAsia" w:ascii="宋体" w:hAnsi="宋体" w:cs="宋体"/>
          <w:b/>
          <w:bCs/>
          <w:color w:val="auto"/>
          <w:szCs w:val="21"/>
          <w:highlight w:val="none"/>
          <w:lang w:eastAsia="zh" w:bidi="ar"/>
        </w:rPr>
      </w:pPr>
      <w:bookmarkStart w:id="1074" w:name="_Toc182248516"/>
      <w:bookmarkStart w:id="1075" w:name="_Toc20013"/>
      <w:r>
        <w:rPr>
          <w:rFonts w:hint="eastAsia" w:ascii="宋体" w:hAnsi="宋体" w:cs="宋体"/>
          <w:b/>
          <w:bCs/>
          <w:color w:val="auto"/>
          <w:szCs w:val="21"/>
          <w:highlight w:val="none"/>
          <w:lang w:eastAsia="zh" w:bidi="ar"/>
        </w:rPr>
        <w:t>材料质量要求</w:t>
      </w:r>
      <w:bookmarkEnd w:id="1074"/>
      <w:bookmarkEnd w:id="1075"/>
    </w:p>
    <w:p w14:paraId="3CC94B6D">
      <w:pPr>
        <w:pStyle w:val="10"/>
        <w:ind w:firstLine="600" w:firstLineChars="300"/>
        <w:outlineLvl w:val="4"/>
        <w:rPr>
          <w:color w:val="auto"/>
          <w:highlight w:val="none"/>
        </w:rPr>
      </w:pPr>
      <w:r>
        <w:rPr>
          <w:rFonts w:hint="eastAsia"/>
          <w:color w:val="auto"/>
          <w:highlight w:val="none"/>
        </w:rPr>
        <w:t>5.1 材料选择</w:t>
      </w:r>
    </w:p>
    <w:p w14:paraId="3F586511">
      <w:pPr>
        <w:spacing w:line="360" w:lineRule="auto"/>
        <w:ind w:firstLine="495" w:firstLineChars="236"/>
        <w:rPr>
          <w:rFonts w:hint="eastAsia" w:ascii="宋体" w:hAnsi="宋体" w:cs="宋体"/>
          <w:color w:val="auto"/>
          <w:szCs w:val="21"/>
          <w:highlight w:val="none"/>
          <w:lang w:eastAsia="zh" w:bidi="ar"/>
        </w:rPr>
      </w:pPr>
      <w:r>
        <w:rPr>
          <w:rFonts w:hint="eastAsia" w:ascii="宋体" w:hAnsi="宋体" w:cs="宋体"/>
          <w:color w:val="auto"/>
          <w:szCs w:val="21"/>
          <w:highlight w:val="none"/>
          <w:lang w:eastAsia="zh" w:bidi="ar"/>
        </w:rPr>
        <w:t>（1）本项目涉及的主要材料和设备，各</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eastAsia="zh" w:bidi="ar"/>
        </w:rPr>
        <w:t>必须根据涉及施工图的要求进行选材并报价。</w:t>
      </w:r>
    </w:p>
    <w:p w14:paraId="658DA2E0">
      <w:pPr>
        <w:spacing w:line="360" w:lineRule="auto"/>
        <w:ind w:firstLine="495" w:firstLineChars="236"/>
        <w:rPr>
          <w:rFonts w:hint="eastAsia" w:ascii="宋体" w:hAnsi="宋体" w:cs="宋体"/>
          <w:color w:val="auto"/>
          <w:szCs w:val="21"/>
          <w:highlight w:val="none"/>
          <w:lang w:eastAsia="zh" w:bidi="ar"/>
        </w:rPr>
      </w:pPr>
      <w:r>
        <w:rPr>
          <w:rFonts w:hint="eastAsia" w:ascii="宋体" w:hAnsi="宋体" w:cs="宋体"/>
          <w:color w:val="auto"/>
          <w:szCs w:val="21"/>
          <w:highlight w:val="none"/>
          <w:lang w:eastAsia="zh" w:bidi="ar"/>
        </w:rPr>
        <w:t>（2）</w:t>
      </w:r>
      <w:r>
        <w:rPr>
          <w:rFonts w:hint="eastAsia" w:ascii="宋体" w:hAnsi="宋体" w:cs="宋体"/>
          <w:strike w:val="0"/>
          <w:dstrike w:val="0"/>
          <w:color w:val="auto"/>
          <w:szCs w:val="21"/>
          <w:highlight w:val="none"/>
          <w:lang w:eastAsia="zh" w:bidi="ar"/>
          <w:woUserID w:val="2"/>
        </w:rPr>
        <w:t>所有材料必须保障原厂正品。</w:t>
      </w:r>
    </w:p>
    <w:p w14:paraId="029D76D3">
      <w:pPr>
        <w:spacing w:line="360" w:lineRule="auto"/>
        <w:ind w:firstLine="495" w:firstLineChars="236"/>
        <w:rPr>
          <w:rFonts w:hint="eastAsia" w:ascii="宋体" w:hAnsi="宋体" w:cs="宋体"/>
          <w:color w:val="auto"/>
          <w:szCs w:val="21"/>
          <w:highlight w:val="none"/>
          <w:lang w:eastAsia="zh" w:bidi="ar"/>
          <w:woUserID w:val="2"/>
        </w:rPr>
      </w:pPr>
      <w:r>
        <w:rPr>
          <w:rFonts w:hint="eastAsia" w:ascii="宋体" w:hAnsi="宋体" w:cs="宋体"/>
          <w:color w:val="auto"/>
          <w:szCs w:val="21"/>
          <w:highlight w:val="none"/>
          <w:lang w:eastAsia="zh" w:bidi="ar"/>
          <w:woUserID w:val="2"/>
        </w:rPr>
        <w:t>（3）本次采购所供主要材料质量须满足本次厂房建设及SEMI标准要求。</w:t>
      </w:r>
    </w:p>
    <w:p w14:paraId="76E3885F">
      <w:pPr>
        <w:spacing w:line="360" w:lineRule="auto"/>
        <w:ind w:firstLine="495" w:firstLineChars="236"/>
        <w:rPr>
          <w:rFonts w:hint="eastAsia" w:ascii="宋体" w:hAnsi="宋体" w:cs="宋体"/>
          <w:color w:val="auto"/>
          <w:szCs w:val="21"/>
          <w:highlight w:val="none"/>
          <w:lang w:eastAsia="zh" w:bidi="ar"/>
          <w:woUserID w:val="2"/>
        </w:rPr>
      </w:pPr>
      <w:r>
        <w:rPr>
          <w:rFonts w:hint="eastAsia" w:ascii="宋体" w:hAnsi="宋体" w:cs="宋体"/>
          <w:color w:val="auto"/>
          <w:szCs w:val="21"/>
          <w:highlight w:val="none"/>
          <w:lang w:eastAsia="zh" w:bidi="ar"/>
          <w:woUserID w:val="2"/>
        </w:rPr>
        <w:t>（4）供应商应在响应文件明确其主要材料的主要参数、规格型号及品牌，并按采购文件第六章的格式要求提供详细的“主要材料表”。</w:t>
      </w:r>
    </w:p>
    <w:p w14:paraId="24B57098">
      <w:pPr>
        <w:spacing w:line="360" w:lineRule="auto"/>
        <w:ind w:firstLine="495" w:firstLineChars="236"/>
        <w:rPr>
          <w:rFonts w:hint="eastAsia" w:ascii="宋体" w:hAnsi="宋体" w:cs="宋体"/>
          <w:color w:val="auto"/>
          <w:szCs w:val="21"/>
          <w:highlight w:val="none"/>
          <w:lang w:eastAsia="zh" w:bidi="ar"/>
        </w:rPr>
      </w:pPr>
      <w:r>
        <w:rPr>
          <w:rFonts w:hint="eastAsia" w:ascii="宋体" w:hAnsi="宋体" w:cs="宋体"/>
          <w:color w:val="auto"/>
          <w:szCs w:val="21"/>
          <w:highlight w:val="none"/>
          <w:lang w:eastAsia="zh" w:bidi="ar"/>
        </w:rPr>
        <w:t>（</w:t>
      </w:r>
      <w:r>
        <w:rPr>
          <w:rFonts w:hint="eastAsia" w:ascii="宋体" w:hAnsi="宋体" w:cs="宋体"/>
          <w:color w:val="auto"/>
          <w:szCs w:val="21"/>
          <w:highlight w:val="none"/>
          <w:lang w:eastAsia="zh" w:bidi="ar"/>
          <w:woUserID w:val="1"/>
        </w:rPr>
        <w:t>5</w:t>
      </w:r>
      <w:r>
        <w:rPr>
          <w:rFonts w:hint="eastAsia" w:ascii="宋体" w:hAnsi="宋体" w:cs="宋体"/>
          <w:color w:val="auto"/>
          <w:szCs w:val="21"/>
          <w:highlight w:val="none"/>
          <w:lang w:eastAsia="zh" w:bidi="ar"/>
        </w:rPr>
        <w:t>）本项目所用材料承包人必须按国家有关标准和施工图纸要求采购，采购前应先提交其样品（质量等级、规格、颜色等）经设计师、发包人代表等确认许可后方可采购。</w:t>
      </w:r>
    </w:p>
    <w:p w14:paraId="3F159EC3">
      <w:pPr>
        <w:spacing w:line="360" w:lineRule="auto"/>
        <w:ind w:firstLine="495" w:firstLineChars="236"/>
        <w:rPr>
          <w:rFonts w:hint="eastAsia" w:ascii="宋体" w:hAnsi="宋体" w:cs="宋体"/>
          <w:color w:val="auto"/>
          <w:szCs w:val="21"/>
          <w:highlight w:val="none"/>
          <w:lang w:eastAsia="zh" w:bidi="ar"/>
        </w:rPr>
      </w:pPr>
      <w:r>
        <w:rPr>
          <w:rFonts w:hint="eastAsia" w:ascii="宋体" w:hAnsi="宋体" w:cs="宋体"/>
          <w:color w:val="auto"/>
          <w:szCs w:val="21"/>
          <w:highlight w:val="none"/>
          <w:lang w:eastAsia="zh" w:bidi="ar"/>
        </w:rPr>
        <w:t>（4）本项目所用板材的环保等级要求为国家标准的E1级，乳胶漆等其他施工用材料的环保等级必须符合可以直接在室内使用的国家标准要求。</w:t>
      </w:r>
    </w:p>
    <w:p w14:paraId="16F387D2">
      <w:pPr>
        <w:spacing w:line="360" w:lineRule="auto"/>
        <w:ind w:firstLine="495" w:firstLineChars="236"/>
        <w:outlineLvl w:val="4"/>
        <w:rPr>
          <w:rFonts w:hint="eastAsia" w:ascii="宋体" w:hAnsi="宋体" w:cs="宋体"/>
          <w:color w:val="auto"/>
          <w:szCs w:val="21"/>
          <w:highlight w:val="none"/>
          <w:lang w:eastAsia="zh" w:bidi="ar"/>
        </w:rPr>
      </w:pPr>
      <w:r>
        <w:rPr>
          <w:rFonts w:hint="eastAsia" w:ascii="宋体" w:hAnsi="宋体" w:cs="宋体"/>
          <w:color w:val="auto"/>
          <w:szCs w:val="21"/>
          <w:highlight w:val="none"/>
          <w:lang w:bidi="ar"/>
        </w:rPr>
        <w:t>5</w:t>
      </w:r>
      <w:r>
        <w:rPr>
          <w:rFonts w:hint="eastAsia" w:ascii="宋体" w:hAnsi="宋体" w:cs="宋体"/>
          <w:color w:val="auto"/>
          <w:szCs w:val="21"/>
          <w:highlight w:val="none"/>
          <w:lang w:eastAsia="zh" w:bidi="ar"/>
        </w:rPr>
        <w:t>.2材料的质量保证</w:t>
      </w:r>
    </w:p>
    <w:p w14:paraId="5C496AE4">
      <w:pPr>
        <w:spacing w:line="360" w:lineRule="auto"/>
        <w:ind w:firstLine="495" w:firstLineChars="236"/>
        <w:rPr>
          <w:rFonts w:hint="eastAsia" w:ascii="宋体" w:hAnsi="宋体" w:cs="宋体"/>
          <w:color w:val="auto"/>
          <w:szCs w:val="21"/>
          <w:highlight w:val="none"/>
          <w:lang w:eastAsia="zh" w:bidi="ar"/>
        </w:rPr>
      </w:pPr>
      <w:r>
        <w:rPr>
          <w:rFonts w:hint="eastAsia" w:ascii="宋体" w:hAnsi="宋体" w:cs="宋体"/>
          <w:color w:val="auto"/>
          <w:szCs w:val="21"/>
          <w:highlight w:val="none"/>
          <w:lang w:eastAsia="zh" w:bidi="ar"/>
        </w:rPr>
        <w:t>（1）在免费保修期内，中标人有缺陷的部位必须无偿地给予修理与更换，并承担一切由此引起的对</w:t>
      </w:r>
      <w:r>
        <w:rPr>
          <w:rFonts w:hint="eastAsia" w:ascii="宋体" w:hAnsi="宋体" w:cs="宋体"/>
          <w:color w:val="auto"/>
          <w:szCs w:val="21"/>
          <w:highlight w:val="none"/>
          <w:lang w:eastAsia="zh-CN" w:bidi="ar"/>
        </w:rPr>
        <w:t>采购人</w:t>
      </w:r>
      <w:r>
        <w:rPr>
          <w:rFonts w:hint="eastAsia" w:ascii="宋体" w:hAnsi="宋体" w:cs="宋体"/>
          <w:color w:val="auto"/>
          <w:szCs w:val="21"/>
          <w:highlight w:val="none"/>
          <w:lang w:eastAsia="zh" w:bidi="ar"/>
        </w:rPr>
        <w:t>或第三者的直接损失，除非该缺陷是由于人为破坏或合同规定的不可抗因素造成的损坏。</w:t>
      </w:r>
    </w:p>
    <w:p w14:paraId="45FFDFB9">
      <w:pPr>
        <w:spacing w:line="360" w:lineRule="auto"/>
        <w:ind w:firstLine="495" w:firstLineChars="236"/>
        <w:rPr>
          <w:rFonts w:hint="eastAsia" w:ascii="宋体" w:hAnsi="宋体" w:cs="宋体"/>
          <w:b/>
          <w:bCs/>
          <w:color w:val="auto"/>
          <w:szCs w:val="21"/>
          <w:highlight w:val="none"/>
          <w:lang w:eastAsia="zh" w:bidi="ar"/>
        </w:rPr>
      </w:pPr>
      <w:r>
        <w:rPr>
          <w:rFonts w:hint="eastAsia" w:ascii="宋体" w:hAnsi="宋体" w:cs="宋体"/>
          <w:color w:val="auto"/>
          <w:szCs w:val="21"/>
          <w:highlight w:val="none"/>
          <w:lang w:eastAsia="zh" w:bidi="ar"/>
        </w:rPr>
        <w:t>（2）中标人必须对所承包工程的质量负全部责任，其责任不因其他材料生产商提供的保证书而减轻或更改。</w:t>
      </w:r>
    </w:p>
    <w:p w14:paraId="464C9164">
      <w:pPr>
        <w:spacing w:line="360" w:lineRule="auto"/>
        <w:ind w:firstLine="498" w:firstLineChars="236"/>
        <w:outlineLvl w:val="2"/>
        <w:rPr>
          <w:rFonts w:hint="eastAsia" w:ascii="宋体" w:hAnsi="宋体" w:cs="宋体"/>
          <w:b/>
          <w:bCs/>
          <w:color w:val="auto"/>
          <w:szCs w:val="21"/>
          <w:highlight w:val="none"/>
        </w:rPr>
      </w:pPr>
      <w:bookmarkStart w:id="1076" w:name="_Toc13544"/>
      <w:r>
        <w:rPr>
          <w:rFonts w:hint="eastAsia" w:ascii="宋体" w:hAnsi="宋体" w:cs="宋体"/>
          <w:b/>
          <w:bCs/>
          <w:color w:val="auto"/>
          <w:szCs w:val="21"/>
          <w:highlight w:val="none"/>
          <w:lang w:bidi="ar"/>
        </w:rPr>
        <w:t>6、验收条件</w:t>
      </w:r>
      <w:bookmarkEnd w:id="1076"/>
    </w:p>
    <w:p w14:paraId="71BA66C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（1）完成建设工程设计和合同约定的各项内容；</w:t>
      </w:r>
    </w:p>
    <w:p w14:paraId="017F14F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（2）有完整的技术档案和施工管理资料；</w:t>
      </w:r>
    </w:p>
    <w:p w14:paraId="49012A0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（3）有工程使用的主要和设备的进场试验报告；</w:t>
      </w:r>
    </w:p>
    <w:p w14:paraId="18C9A49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（4）有施工方签署的工程保修书；</w:t>
      </w:r>
    </w:p>
    <w:p w14:paraId="63B2B53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（5）建设方所提出的工程缺失整改完毕；</w:t>
      </w:r>
    </w:p>
    <w:p w14:paraId="770A0A7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（6）满足制程设备正常运转要求；</w:t>
      </w:r>
    </w:p>
    <w:p w14:paraId="123AE42A">
      <w:pPr>
        <w:spacing w:line="360" w:lineRule="auto"/>
        <w:ind w:firstLine="495" w:firstLineChars="236"/>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（7）本项目所涉及各压力仪表及安全阀须按照《 强制检定的工作计量器具实施检定的有关规定 (试行)》通过省级以上人民政府计量行政部门指定的计量检定机构或者被授权的技术机构进行检定；</w:t>
      </w:r>
    </w:p>
    <w:p w14:paraId="1F2C1EB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（8）竣工资料（一式四份）。</w:t>
      </w:r>
    </w:p>
    <w:p w14:paraId="7F74239A">
      <w:pPr>
        <w:spacing w:line="360" w:lineRule="auto"/>
        <w:ind w:firstLine="498" w:firstLineChars="236"/>
        <w:outlineLvl w:val="2"/>
        <w:rPr>
          <w:rFonts w:hint="eastAsia" w:ascii="宋体" w:hAnsi="宋体" w:cs="宋体"/>
          <w:b/>
          <w:bCs/>
          <w:color w:val="auto"/>
          <w:szCs w:val="21"/>
          <w:highlight w:val="none"/>
        </w:rPr>
      </w:pPr>
      <w:bookmarkStart w:id="1077" w:name="_Toc6243"/>
      <w:r>
        <w:rPr>
          <w:rFonts w:hint="eastAsia" w:ascii="宋体" w:hAnsi="宋体" w:cs="宋体"/>
          <w:b/>
          <w:bCs/>
          <w:color w:val="auto"/>
          <w:szCs w:val="21"/>
          <w:highlight w:val="none"/>
          <w:lang w:bidi="ar"/>
        </w:rPr>
        <w:t>7、厂商提供资料</w:t>
      </w:r>
      <w:bookmarkEnd w:id="1077"/>
    </w:p>
    <w:p w14:paraId="423BBB23">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7.1材料进场计划；</w:t>
      </w:r>
    </w:p>
    <w:p w14:paraId="16197C93">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7.2《施工组织计划书》含</w:t>
      </w:r>
    </w:p>
    <w:p w14:paraId="7F52B08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（1）施工人员/监督人员/管理人员的资质履历表；</w:t>
      </w:r>
    </w:p>
    <w:p w14:paraId="36CF2AC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（2）施工方进场施工安全管理方案；</w:t>
      </w:r>
    </w:p>
    <w:p w14:paraId="22FA3D7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（3）各项施工计划及工程进度表；</w:t>
      </w:r>
    </w:p>
    <w:p w14:paraId="7CDF2C3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（4）材料/机具/人员进场计划；</w:t>
      </w:r>
    </w:p>
    <w:p w14:paraId="21D753B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（5）安全/质量管控方案；</w:t>
      </w:r>
    </w:p>
    <w:p w14:paraId="4D49437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（6）突发事件应急预案；</w:t>
      </w:r>
    </w:p>
    <w:p w14:paraId="175D679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（7）施工方人员证件：身份证复印件/体检证明；</w:t>
      </w:r>
    </w:p>
    <w:p w14:paraId="4B5E979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（8）材料/设备进场检验表；</w:t>
      </w:r>
    </w:p>
    <w:p w14:paraId="4D4A40BE">
      <w:pPr>
        <w:spacing w:line="360" w:lineRule="auto"/>
        <w:ind w:firstLine="498" w:firstLineChars="236"/>
        <w:outlineLvl w:val="2"/>
        <w:rPr>
          <w:rFonts w:hint="eastAsia" w:ascii="宋体" w:hAnsi="宋体" w:cs="宋体"/>
          <w:b/>
          <w:bCs/>
          <w:color w:val="auto"/>
          <w:szCs w:val="21"/>
          <w:highlight w:val="none"/>
        </w:rPr>
      </w:pPr>
      <w:bookmarkStart w:id="1078" w:name="_Toc14238"/>
      <w:r>
        <w:rPr>
          <w:rFonts w:hint="eastAsia" w:ascii="宋体" w:hAnsi="宋体" w:cs="宋体"/>
          <w:b/>
          <w:bCs/>
          <w:color w:val="auto"/>
          <w:szCs w:val="21"/>
          <w:highlight w:val="none"/>
          <w:lang w:bidi="ar"/>
        </w:rPr>
        <w:t>8、调试</w:t>
      </w:r>
      <w:bookmarkEnd w:id="1078"/>
    </w:p>
    <w:p w14:paraId="1CB8D1C2">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8.1.适用范围</w:t>
      </w:r>
    </w:p>
    <w:p w14:paraId="69151E4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A.空气系统的测试、调整及平衡；</w:t>
      </w:r>
    </w:p>
    <w:p w14:paraId="7E13A38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B.液体系统的测试、调整及平衡；</w:t>
      </w:r>
    </w:p>
    <w:p w14:paraId="70CE5CF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C.空调系统完工运转状况测量；</w:t>
      </w:r>
    </w:p>
    <w:p w14:paraId="60BD5204">
      <w:pPr>
        <w:spacing w:line="360" w:lineRule="auto"/>
        <w:ind w:firstLine="495" w:firstLineChars="236"/>
        <w:rPr>
          <w:rFonts w:hint="eastAsia" w:ascii="宋体" w:hAnsi="宋体" w:cs="宋体"/>
          <w:color w:val="auto"/>
          <w:szCs w:val="21"/>
          <w:highlight w:val="none"/>
          <w:lang w:eastAsia="zh" w:bidi="ar"/>
        </w:rPr>
      </w:pPr>
      <w:r>
        <w:rPr>
          <w:rFonts w:hint="eastAsia" w:ascii="宋体" w:hAnsi="宋体" w:cs="宋体"/>
          <w:color w:val="auto"/>
          <w:szCs w:val="21"/>
          <w:highlight w:val="none"/>
          <w:lang w:bidi="ar"/>
        </w:rPr>
        <w:t>D.运转时噪音测量</w:t>
      </w:r>
      <w:r>
        <w:rPr>
          <w:rFonts w:hint="eastAsia" w:ascii="宋体" w:hAnsi="宋体" w:cs="宋体"/>
          <w:color w:val="auto"/>
          <w:szCs w:val="21"/>
          <w:highlight w:val="none"/>
          <w:lang w:eastAsia="zh" w:bidi="ar"/>
        </w:rPr>
        <w:t>；</w:t>
      </w:r>
    </w:p>
    <w:p w14:paraId="709FA33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eastAsia="zh" w:bidi="ar"/>
        </w:rPr>
        <w:t>E.技术要求中各个系统的调试及运行</w:t>
      </w:r>
      <w:r>
        <w:rPr>
          <w:rFonts w:hint="eastAsia" w:ascii="宋体" w:hAnsi="宋体" w:cs="宋体"/>
          <w:color w:val="auto"/>
          <w:szCs w:val="21"/>
          <w:highlight w:val="none"/>
          <w:lang w:bidi="ar"/>
        </w:rPr>
        <w:t>。</w:t>
      </w:r>
    </w:p>
    <w:p w14:paraId="6145DC1D">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8.2.参考规范</w:t>
      </w:r>
    </w:p>
    <w:p w14:paraId="3B4E923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A.AABC - 现场测量、仪器及全系统平衡标准；</w:t>
      </w:r>
    </w:p>
    <w:p w14:paraId="28AA103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B.ASHRAE - 1987年系统手册第57章：测试、调整及平衡；</w:t>
      </w:r>
    </w:p>
    <w:p w14:paraId="0CF5EA7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C.NEBB环境系统测试、平衡及调整之标准程序；</w:t>
      </w:r>
    </w:p>
    <w:p w14:paraId="32F0B4F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D.中国国家标准。</w:t>
      </w:r>
    </w:p>
    <w:p w14:paraId="3CA65E3E">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8.3.品质保证</w:t>
      </w:r>
    </w:p>
    <w:p w14:paraId="1A2FA59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A.承包商须提出记录证明书，证明他在空气和水系统之测试及平衡上，有相关的经验；</w:t>
      </w:r>
    </w:p>
    <w:p w14:paraId="640FDD7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B.承包商应确认所有需使用于测试及平衡空气和水系统的仪器于测试前已经校正过；</w:t>
      </w:r>
    </w:p>
    <w:p w14:paraId="209ACF5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C.承包商应安排进行测试、调整及平衡的工作于外在环境条件与设计条件近似的时候。</w:t>
      </w:r>
    </w:p>
    <w:p w14:paraId="4122CE98">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8.4.文件提送</w:t>
      </w:r>
    </w:p>
    <w:p w14:paraId="6513412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A.于开始测试前</w:t>
      </w:r>
      <w:r>
        <w:rPr>
          <w:rFonts w:hint="eastAsia" w:ascii="宋体" w:hAnsi="宋体" w:cs="宋体"/>
          <w:color w:val="auto"/>
          <w:szCs w:val="21"/>
          <w:highlight w:val="none"/>
          <w:lang w:eastAsia="zh" w:bidi="ar"/>
        </w:rPr>
        <w:t>10天</w:t>
      </w:r>
      <w:r>
        <w:rPr>
          <w:rFonts w:hint="eastAsia" w:ascii="宋体" w:hAnsi="宋体" w:cs="宋体"/>
          <w:color w:val="auto"/>
          <w:szCs w:val="21"/>
          <w:highlight w:val="none"/>
          <w:lang w:bidi="ar"/>
        </w:rPr>
        <w:t>，提送测试程序书；</w:t>
      </w:r>
    </w:p>
    <w:p w14:paraId="14868F0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B.提送测试点及测试仪器点；</w:t>
      </w:r>
    </w:p>
    <w:p w14:paraId="21AEB4D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C.提送注明调整、平衡及设备资料之报告。</w:t>
      </w:r>
    </w:p>
    <w:p w14:paraId="227BE532">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8.5.平衡及性能试验报告书</w:t>
      </w:r>
    </w:p>
    <w:p w14:paraId="06CB319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任何系统之平衡报告书至少应有下列资料:</w:t>
      </w:r>
    </w:p>
    <w:p w14:paraId="60B65B8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A.所有仪器的型号、序号及校准日期；</w:t>
      </w:r>
    </w:p>
    <w:p w14:paraId="32C9145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B.空气平衡报告书包括：</w:t>
      </w:r>
    </w:p>
    <w:p w14:paraId="0269B5E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（1）风机设备现场测试资料，包含：</w:t>
      </w:r>
    </w:p>
    <w:p w14:paraId="68B4C1E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a)风量；</w:t>
      </w:r>
    </w:p>
    <w:p w14:paraId="7B2E668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b)静压；</w:t>
      </w:r>
    </w:p>
    <w:p w14:paraId="6E66D8C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c)转速；</w:t>
      </w:r>
    </w:p>
    <w:p w14:paraId="00EC73A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d)运转电流；</w:t>
      </w:r>
    </w:p>
    <w:p w14:paraId="6D389D5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e)运转马力；</w:t>
      </w:r>
    </w:p>
    <w:p w14:paraId="2F1FF16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（2）主风管及支风管的风速测试，包含：</w:t>
      </w:r>
    </w:p>
    <w:p w14:paraId="53E864A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a)风管尺寸；</w:t>
      </w:r>
    </w:p>
    <w:p w14:paraId="49589FF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b)速度读数；</w:t>
      </w:r>
    </w:p>
    <w:p w14:paraId="0AEF7DB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c)风管平均速度；</w:t>
      </w:r>
    </w:p>
    <w:p w14:paraId="4A21EAB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d)全风量；</w:t>
      </w:r>
    </w:p>
    <w:p w14:paraId="7D4EE6F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（3）各个出风口及回风口测试，包含：</w:t>
      </w:r>
    </w:p>
    <w:p w14:paraId="5EC9366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a)需求风量及流速；；</w:t>
      </w:r>
    </w:p>
    <w:p w14:paraId="6DC340F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b)实际风量及流速</w:t>
      </w:r>
    </w:p>
    <w:p w14:paraId="40A72D6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c)转向装置定位；</w:t>
      </w:r>
    </w:p>
    <w:p w14:paraId="60C9637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水平衡报告书包括：</w:t>
      </w:r>
    </w:p>
    <w:p w14:paraId="5A57AE6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（1）泵浦现场测试资料，包含：</w:t>
      </w:r>
    </w:p>
    <w:p w14:paraId="2D014E6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a)流量；</w:t>
      </w:r>
    </w:p>
    <w:p w14:paraId="64125F3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b)出口压力（全流量、设计流量、无流量）；</w:t>
      </w:r>
    </w:p>
    <w:p w14:paraId="7D9D602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c)吸入口压力（全流量、设计流量、无流量）；</w:t>
      </w:r>
    </w:p>
    <w:p w14:paraId="34970C0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d)运转扬程；</w:t>
      </w:r>
    </w:p>
    <w:p w14:paraId="15E62E4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e)设计流量电流；</w:t>
      </w:r>
    </w:p>
    <w:p w14:paraId="42F65D5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f)全流量电流；</w:t>
      </w:r>
    </w:p>
    <w:p w14:paraId="7001AF9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g)无流量电流；</w:t>
      </w:r>
    </w:p>
    <w:p w14:paraId="7DF1A5A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h)制动马力计算；</w:t>
      </w:r>
    </w:p>
    <w:p w14:paraId="0C62436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（2）水冷式或气冷式冰水主机现场测试资料，包含：</w:t>
      </w:r>
    </w:p>
    <w:p w14:paraId="0D1CB02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a)外气温度；</w:t>
      </w:r>
    </w:p>
    <w:p w14:paraId="5AFD7F0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b)冰水；</w:t>
      </w:r>
    </w:p>
    <w:p w14:paraId="5C4A81C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aa)流量；</w:t>
      </w:r>
    </w:p>
    <w:p w14:paraId="5F42615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bb)回水及出水温度；</w:t>
      </w:r>
    </w:p>
    <w:p w14:paraId="4CC4230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cc)压力降；</w:t>
      </w:r>
    </w:p>
    <w:p w14:paraId="633B5D1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c)冷凝水；</w:t>
      </w:r>
    </w:p>
    <w:p w14:paraId="6E6B865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aa)流量；</w:t>
      </w:r>
    </w:p>
    <w:p w14:paraId="53D021A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bb)进水温度及离开温度；</w:t>
      </w:r>
    </w:p>
    <w:p w14:paraId="4DECD5C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cc)压降；</w:t>
      </w:r>
    </w:p>
    <w:p w14:paraId="333EC21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d)冷凝空气；</w:t>
      </w:r>
    </w:p>
    <w:p w14:paraId="629F0DE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aa)流量；</w:t>
      </w:r>
    </w:p>
    <w:p w14:paraId="1CCB35D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bb)入风温度及出风温度；</w:t>
      </w:r>
    </w:p>
    <w:p w14:paraId="1E2A1BF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e)冰水机；</w:t>
      </w:r>
    </w:p>
    <w:p w14:paraId="378E0C0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aa)运转电流；</w:t>
      </w:r>
    </w:p>
    <w:p w14:paraId="3AB39A8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bb)冷媒吸入温度；</w:t>
      </w:r>
    </w:p>
    <w:p w14:paraId="0325ED3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cc)冷媒排出温度；</w:t>
      </w:r>
    </w:p>
    <w:p w14:paraId="67BFC7E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dd)油温；</w:t>
      </w:r>
    </w:p>
    <w:p w14:paraId="4C47E32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ee)油压；</w:t>
      </w:r>
    </w:p>
    <w:p w14:paraId="356B6CA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ff)推力轴承温度；</w:t>
      </w:r>
    </w:p>
    <w:p w14:paraId="068397C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gg)耗电量计算；</w:t>
      </w:r>
    </w:p>
    <w:p w14:paraId="04CE627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hh)运转功率因子；</w:t>
      </w:r>
    </w:p>
    <w:p w14:paraId="2B6C52A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（3）室内冷风机</w:t>
      </w:r>
    </w:p>
    <w:p w14:paraId="3013A09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a)冰水进出口温度；</w:t>
      </w:r>
    </w:p>
    <w:p w14:paraId="47D87AA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b)空气进出口温度db°C及wb°C；</w:t>
      </w:r>
    </w:p>
    <w:p w14:paraId="52A3A7F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c)水侧压降；</w:t>
      </w:r>
    </w:p>
    <w:p w14:paraId="0AB086D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d)空气侧压降；</w:t>
      </w:r>
    </w:p>
    <w:p w14:paraId="6CD7BB3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e)风量；</w:t>
      </w:r>
    </w:p>
    <w:p w14:paraId="51259D3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D.噪音测试 ；</w:t>
      </w:r>
    </w:p>
    <w:p w14:paraId="3725FA4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（1）所有空调设备运转时，于边界1m，高1.2m处所测得之噪音不得大于65dBA，并符合环保署之规定。</w:t>
      </w:r>
    </w:p>
    <w:p w14:paraId="4E0FD45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（2）设备运转噪音不得超过其它章节或图面之规定。</w:t>
      </w:r>
    </w:p>
    <w:p w14:paraId="290D38C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（3）各区域之最大噪音值如下：</w:t>
      </w:r>
    </w:p>
    <w:p w14:paraId="2278439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场所最大噪音值 (dBA)；</w:t>
      </w:r>
    </w:p>
    <w:p w14:paraId="05F9B0A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办公室、会议室及餐厅-</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55；</w:t>
      </w:r>
    </w:p>
    <w:p w14:paraId="72653BF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茶水间及厕所-</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65；</w:t>
      </w:r>
    </w:p>
    <w:p w14:paraId="6490840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（4）记录并提送现场测试报告；</w:t>
      </w:r>
    </w:p>
    <w:p w14:paraId="192F07F4">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8.6.执行</w:t>
      </w:r>
    </w:p>
    <w:p w14:paraId="7F8BCB9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一般要求</w:t>
      </w:r>
    </w:p>
    <w:p w14:paraId="78D28EB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A.承包商应提供执行所有测试所需的设备、仪器及操作人员，并且应付此费用;</w:t>
      </w:r>
    </w:p>
    <w:p w14:paraId="0A1C131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B.承包商应执行设备或系统的最后调整，以便符合规定的性能;</w:t>
      </w:r>
    </w:p>
    <w:p w14:paraId="67845A0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C.在执行测试及平衡工作期间，若发现设备或系统有缺陷时，承包商就必须对设备作更换或重新安排;</w:t>
      </w:r>
    </w:p>
    <w:p w14:paraId="5957462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D.在系统完成且进入工作状况后，承包商应开始进行水和空气系统的平衡工作，所有的水和空气系统视需要作全能运转，而且每次测试，均须维持同样的运转情况。</w:t>
      </w:r>
    </w:p>
    <w:p w14:paraId="5A3F68F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平衡及性能试验</w:t>
      </w:r>
    </w:p>
    <w:p w14:paraId="47482F0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A.承包商应该在开始试验10天前，通知工程师;</w:t>
      </w:r>
    </w:p>
    <w:p w14:paraId="0AFD6E4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B.完成预先试验的要求后，或由工程师规定的日期内，必须操作及试验机械设备与系统，至少连续2天，每天8小时，以证明全部的系统能在最好的状况下运转;</w:t>
      </w:r>
    </w:p>
    <w:p w14:paraId="3D84A63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C.承包商应调整及平衡所有的空调系统以及附件，以便输送所规定的空气量、冰水流量及噪音度。包含下列工作：</w:t>
      </w:r>
    </w:p>
    <w:p w14:paraId="0182DEA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（1）测试及调整每一个空气出风口及回风口，风量达设计要求的正或负10%之内;</w:t>
      </w:r>
    </w:p>
    <w:p w14:paraId="11F36A5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（2）测试及调整每一个风机的空气排出量达设计要求的正或负10%之内;</w:t>
      </w:r>
    </w:p>
    <w:p w14:paraId="27950F4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（3）测试及调整噪音量以符合之噪音准则要求。</w:t>
      </w:r>
    </w:p>
    <w:p w14:paraId="74A9B591">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bidi="ar"/>
        </w:rPr>
        <w:t>8.6.1承包商预先测试之要求</w:t>
      </w:r>
    </w:p>
    <w:p w14:paraId="585BD3A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在操作任何设备或系统之前，承包商必须彻底检验这些系统是否已经完成了规定的冲洗及清洗工作，及设备是否被适当的安排、润滑及保养，制造厂商的说明书项目必须逐一核对以确保安装是否确实，且是否使用了建议的润滑剂;</w:t>
      </w:r>
    </w:p>
    <w:p w14:paraId="30083A0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承包商在润滑轴承时，必须特别小心以避免由于过度润滑及密封件的破坏，而损坏轴承。承包商必须检查设备于运送、搬运或安装时，是否损坏，若有损坏时，承包商应以经认可的方式修理这些损坏的设备或以新设备来更换;</w:t>
      </w:r>
    </w:p>
    <w:p w14:paraId="34ACBF4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C.在完成以上的要求后，于开始最后测试之前，承包商应清洗或更换所有的空气过滤器滤材;</w:t>
      </w:r>
    </w:p>
    <w:p w14:paraId="28C27A2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D.水管管路应清洗到无污垢及完全清净。承包商应提供暂时的旁通管，以免冲洗过后的水流经过水盘管，并要清洁过滤器和阀。水管再注满水后，须将空气由水系统中之空气栓溢出;</w:t>
      </w:r>
    </w:p>
    <w:p w14:paraId="4F921BB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E.操作设备及进出风格栅前，须使用真空方式清除空调箱设备及风箱内部碎片，及风管内之小固体物质。</w:t>
      </w:r>
    </w:p>
    <w:p w14:paraId="631461E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空气平衡要求</w:t>
      </w:r>
    </w:p>
    <w:p w14:paraId="7A0A7DC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A.在主风管及支风管内，承包商必须借着插入皮氏管横越测试风管的整个横断面积，以便执行空气流量的测量。管内风速超过5.1m∕s时，承包商应使用倾斜的液体压力计或磁螺旋压力计（Magnahelic Gage）来测量。在风管上作为皮氏管插入口及微液体压力计、钩尺或其它低压仪器的插入口，在完成空气平衡后，必须使用咬入式的旋塞密封;</w:t>
      </w:r>
    </w:p>
    <w:p w14:paraId="199C77B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B.在出风口及入风口处，承包商必须依据格栅风口及可调式格栅风口制造厂商的建议，使用直接读出式的速度计来测量空气流量;</w:t>
      </w:r>
    </w:p>
    <w:p w14:paraId="36EBD1F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C.借着调整风机速度以获得全部空气流量，使用风量风门或分隔式风门来调整支风管的空气流量。在完成空气平衡后，风门的位置必须作一永久性的记号，以便在维修后，能恢复到他们的正确位置;</w:t>
      </w:r>
    </w:p>
    <w:p w14:paraId="5AD1CCC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D.空气量的调整，不允许使用出口转向装置、格栅风口或风斗来调整。</w:t>
      </w:r>
    </w:p>
    <w:p w14:paraId="71A8184C">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bidi="ar"/>
        </w:rPr>
        <w:t>8.6.2水系统平衡要求</w:t>
      </w:r>
    </w:p>
    <w:p w14:paraId="70F699A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A.为平衡流量，使用测量小孔和移动式水表或永久型小孔法兰以完成水量测量;</w:t>
      </w:r>
    </w:p>
    <w:p w14:paraId="2797FA9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B.当做平衡步骤时，水系统必须在全流量流经盘管时设定自动控制阀;</w:t>
      </w:r>
    </w:p>
    <w:p w14:paraId="7C6B256C">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C.使用压差量测法测试泵浦之打水量。承包商应以平衡考克或自动流量控制阀来调整各路径之水流。当完成平衡后，在平衡考克上作一记号，以便被扰乱时，可调回原来正确的位置。</w:t>
      </w:r>
    </w:p>
    <w:p w14:paraId="5576ED02">
      <w:pPr>
        <w:spacing w:line="360" w:lineRule="auto"/>
        <w:ind w:firstLine="495" w:firstLineChars="236"/>
        <w:outlineLvl w:val="2"/>
        <w:rPr>
          <w:rFonts w:hint="eastAsia" w:ascii="宋体" w:hAnsi="宋体" w:cs="宋体"/>
          <w:b/>
          <w:bCs/>
          <w:color w:val="auto"/>
          <w:szCs w:val="21"/>
          <w:highlight w:val="none"/>
        </w:rPr>
      </w:pPr>
      <w:bookmarkStart w:id="1079" w:name="_Toc2781"/>
      <w:r>
        <w:rPr>
          <w:rFonts w:hint="eastAsia" w:ascii="宋体" w:hAnsi="宋体" w:cs="宋体"/>
          <w:color w:val="auto"/>
          <w:szCs w:val="21"/>
          <w:highlight w:val="none"/>
          <w:lang w:bidi="ar"/>
        </w:rPr>
        <w:t>9</w:t>
      </w:r>
      <w:r>
        <w:rPr>
          <w:rFonts w:hint="eastAsia" w:ascii="宋体" w:hAnsi="宋体" w:cs="宋体"/>
          <w:b/>
          <w:bCs/>
          <w:color w:val="auto"/>
          <w:szCs w:val="21"/>
          <w:highlight w:val="none"/>
          <w:lang w:bidi="ar"/>
        </w:rPr>
        <w:t>、售后</w:t>
      </w:r>
      <w:bookmarkEnd w:id="1079"/>
    </w:p>
    <w:p w14:paraId="1750FEE4">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9.1保修期</w:t>
      </w:r>
    </w:p>
    <w:p w14:paraId="663C319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lang w:bidi="ar"/>
        </w:rPr>
        <w:t>本工程保修期</w:t>
      </w:r>
      <w:r>
        <w:rPr>
          <w:rFonts w:hint="eastAsia" w:ascii="宋体" w:hAnsi="宋体" w:cs="宋体"/>
          <w:color w:val="auto"/>
          <w:szCs w:val="21"/>
          <w:highlight w:val="none"/>
          <w:lang w:eastAsia="zh" w:bidi="ar"/>
        </w:rPr>
        <w:t>为2年</w:t>
      </w:r>
      <w:r>
        <w:rPr>
          <w:rFonts w:hint="eastAsia" w:ascii="宋体" w:hAnsi="宋体" w:cs="宋体"/>
          <w:color w:val="auto"/>
          <w:szCs w:val="21"/>
          <w:highlight w:val="none"/>
          <w:lang w:bidi="ar"/>
        </w:rPr>
        <w:t>，保修期限自验收合格完毕之日起计算（施工方出具保修书送交业主方）;</w:t>
      </w:r>
    </w:p>
    <w:p w14:paraId="65B5684D">
      <w:pPr>
        <w:spacing w:line="360" w:lineRule="auto"/>
        <w:ind w:firstLine="495" w:firstLineChars="236"/>
        <w:outlineLvl w:val="3"/>
        <w:rPr>
          <w:rFonts w:hint="eastAsia" w:ascii="宋体" w:hAnsi="宋体" w:cs="宋体"/>
          <w:color w:val="auto"/>
          <w:szCs w:val="21"/>
          <w:highlight w:val="none"/>
        </w:rPr>
      </w:pPr>
      <w:r>
        <w:rPr>
          <w:rFonts w:hint="eastAsia" w:ascii="宋体" w:hAnsi="宋体" w:cs="宋体"/>
          <w:color w:val="auto"/>
          <w:szCs w:val="21"/>
          <w:highlight w:val="none"/>
          <w:lang w:bidi="ar"/>
        </w:rPr>
        <w:t>9.2保修责任</w:t>
      </w:r>
    </w:p>
    <w:p w14:paraId="57F1769B">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bidi="ar"/>
        </w:rPr>
        <w:t>9.2.1于保修期内，因设备之材料品质不良，制造欠佳，安装不良或施工方其他方面原因，导致设备未能正常顺利操作，运转不良，不能达到预期效果，或因此导致其他设备受损，施工方应负责修理或更换合格之新品;</w:t>
      </w:r>
    </w:p>
    <w:p w14:paraId="1E0ADC73">
      <w:pPr>
        <w:spacing w:line="360" w:lineRule="auto"/>
        <w:ind w:firstLine="495" w:firstLineChars="236"/>
        <w:outlineLvl w:val="4"/>
        <w:rPr>
          <w:rFonts w:hint="eastAsia" w:ascii="宋体" w:hAnsi="宋体" w:cs="宋体"/>
          <w:color w:val="auto"/>
          <w:szCs w:val="21"/>
          <w:highlight w:val="none"/>
        </w:rPr>
      </w:pPr>
      <w:r>
        <w:rPr>
          <w:rFonts w:hint="eastAsia" w:ascii="宋体" w:hAnsi="宋体" w:cs="宋体"/>
          <w:color w:val="auto"/>
          <w:szCs w:val="21"/>
          <w:highlight w:val="none"/>
          <w:lang w:bidi="ar"/>
        </w:rPr>
        <w:t>9.2.2业主方发现前述缺失等情形后将通知施工方，施工方接获通知后，应迅速前往作必要处理，若未能于规定时间内履行保修责任之费用由施工方负责。</w:t>
      </w:r>
    </w:p>
    <w:p w14:paraId="2AAA7AF5">
      <w:pPr>
        <w:spacing w:line="360" w:lineRule="auto"/>
        <w:jc w:val="left"/>
        <w:outlineLvl w:val="2"/>
        <w:rPr>
          <w:rFonts w:hint="eastAsia" w:ascii="宋体" w:hAnsi="宋体" w:cs="宋体"/>
          <w:b/>
          <w:bCs/>
          <w:color w:val="auto"/>
          <w:szCs w:val="21"/>
          <w:highlight w:val="none"/>
        </w:rPr>
      </w:pPr>
      <w:bookmarkStart w:id="1080" w:name="_Toc5249"/>
      <w:r>
        <w:rPr>
          <w:rFonts w:hint="eastAsia" w:ascii="宋体" w:hAnsi="宋体" w:cs="宋体"/>
          <w:b/>
          <w:bCs/>
          <w:color w:val="auto"/>
          <w:szCs w:val="21"/>
          <w:highlight w:val="none"/>
          <w:lang w:bidi="ar"/>
        </w:rPr>
        <w:t>10、其他要求</w:t>
      </w:r>
      <w:bookmarkEnd w:id="1080"/>
    </w:p>
    <w:p w14:paraId="2138BBF4">
      <w:pPr>
        <w:spacing w:line="360" w:lineRule="auto"/>
        <w:ind w:firstLine="420" w:firstLineChars="200"/>
        <w:outlineLvl w:val="4"/>
        <w:rPr>
          <w:rFonts w:hint="eastAsia" w:ascii="宋体" w:hAnsi="宋体" w:cs="宋体"/>
          <w:color w:val="auto"/>
          <w:szCs w:val="21"/>
          <w:highlight w:val="none"/>
          <w:lang w:bidi="ar"/>
        </w:rPr>
      </w:pPr>
      <w:r>
        <w:rPr>
          <w:rFonts w:hint="eastAsia" w:ascii="宋体" w:hAnsi="宋体" w:cs="宋体"/>
          <w:color w:val="auto"/>
          <w:szCs w:val="21"/>
          <w:highlight w:val="none"/>
          <w:lang w:bidi="ar"/>
        </w:rPr>
        <w:t>10.1、安装地点为中原量子谷1号楼超净实验室，设备的搬运、安装调试等不另行付费。</w:t>
      </w:r>
    </w:p>
    <w:p w14:paraId="6CCC7C37">
      <w:pPr>
        <w:spacing w:line="360" w:lineRule="auto"/>
        <w:ind w:firstLine="495" w:firstLineChars="236"/>
        <w:outlineLvl w:val="4"/>
        <w:rPr>
          <w:rFonts w:hint="default"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在各个系统调试的过程中产生的水、电、气等费用由承包人承担。</w:t>
      </w:r>
    </w:p>
    <w:p w14:paraId="0DA67BB9">
      <w:pPr>
        <w:spacing w:line="360" w:lineRule="auto"/>
        <w:ind w:firstLine="369" w:firstLineChars="176"/>
        <w:jc w:val="left"/>
        <w:rPr>
          <w:rFonts w:hint="eastAsia" w:ascii="宋体" w:hAnsi="宋体" w:eastAsia="宋体" w:cs="宋体"/>
          <w:color w:val="auto"/>
          <w:szCs w:val="21"/>
          <w:highlight w:val="none"/>
          <w:lang w:eastAsia="zh" w:bidi="ar"/>
        </w:rPr>
      </w:pPr>
      <w:r>
        <w:rPr>
          <w:rFonts w:hint="eastAsia" w:ascii="宋体" w:hAnsi="宋体" w:eastAsia="宋体" w:cs="宋体"/>
          <w:color w:val="auto"/>
          <w:szCs w:val="21"/>
          <w:highlight w:val="none"/>
          <w:lang w:eastAsia="zh" w:bidi="ar"/>
        </w:rPr>
        <w:t>10.2、付款方式：</w:t>
      </w:r>
    </w:p>
    <w:p w14:paraId="3705E671">
      <w:pPr>
        <w:spacing w:line="360" w:lineRule="auto"/>
        <w:ind w:firstLine="369" w:firstLineChars="176"/>
        <w:jc w:val="left"/>
        <w:rPr>
          <w:rFonts w:hint="eastAsia" w:ascii="宋体" w:hAnsi="宋体" w:eastAsia="宋体" w:cs="宋体"/>
          <w:color w:val="auto"/>
          <w:szCs w:val="21"/>
          <w:highlight w:val="none"/>
          <w:lang w:val="en-US" w:eastAsia="zh" w:bidi="ar"/>
        </w:rPr>
      </w:pPr>
      <w:r>
        <w:rPr>
          <w:rFonts w:hint="eastAsia" w:ascii="宋体" w:hAnsi="宋体" w:eastAsia="宋体" w:cs="宋体"/>
          <w:color w:val="auto"/>
          <w:szCs w:val="21"/>
          <w:highlight w:val="none"/>
          <w:lang w:val="en-US" w:eastAsia="zh" w:bidi="ar"/>
        </w:rPr>
        <w:t>①合同签订后5个工作日内，由承包人向发包人提交履约保函；发包人收到履约保函后向承包人支付预付款30万元，待施工图纸确认后支付至合同金额的30%。</w:t>
      </w:r>
    </w:p>
    <w:p w14:paraId="0450A5F4">
      <w:pPr>
        <w:spacing w:line="360" w:lineRule="auto"/>
        <w:ind w:firstLine="369" w:firstLineChars="176"/>
        <w:jc w:val="left"/>
        <w:rPr>
          <w:rFonts w:hint="eastAsia" w:ascii="宋体" w:hAnsi="宋体" w:eastAsia="宋体" w:cs="宋体"/>
          <w:color w:val="auto"/>
          <w:szCs w:val="21"/>
          <w:highlight w:val="none"/>
          <w:lang w:val="en-US" w:eastAsia="zh" w:bidi="ar"/>
        </w:rPr>
      </w:pPr>
      <w:r>
        <w:rPr>
          <w:rFonts w:hint="eastAsia" w:ascii="宋体" w:hAnsi="宋体" w:eastAsia="宋体" w:cs="宋体"/>
          <w:color w:val="auto"/>
          <w:szCs w:val="21"/>
          <w:highlight w:val="none"/>
          <w:lang w:val="en-US" w:eastAsia="zh" w:bidi="ar"/>
        </w:rPr>
        <w:t>②竣工验收合格后，支付至合同金额的75%，</w:t>
      </w:r>
      <w:r>
        <w:rPr>
          <w:rFonts w:hint="eastAsia" w:ascii="宋体" w:hAnsi="宋体" w:eastAsia="宋体" w:cs="宋体"/>
          <w:color w:val="auto"/>
          <w:szCs w:val="21"/>
          <w:highlight w:val="none"/>
          <w:lang w:val="en-US" w:eastAsia="zh" w:bidi="ar"/>
          <w:woUserID w:val="2"/>
        </w:rPr>
        <w:t>工程结算经</w:t>
      </w:r>
      <w:r>
        <w:rPr>
          <w:rFonts w:hint="eastAsia" w:ascii="宋体" w:hAnsi="宋体" w:cs="宋体"/>
          <w:color w:val="auto"/>
          <w:szCs w:val="21"/>
          <w:highlight w:val="none"/>
          <w:lang w:eastAsia="zh"/>
          <w:woUserID w:val="2"/>
        </w:rPr>
        <w:t>第三方造价咨询机构审核后支付至结算评审金额</w:t>
      </w:r>
      <w:r>
        <w:rPr>
          <w:rFonts w:hint="eastAsia" w:ascii="宋体" w:hAnsi="宋体" w:eastAsia="宋体" w:cs="宋体"/>
          <w:color w:val="auto"/>
          <w:szCs w:val="21"/>
          <w:highlight w:val="none"/>
          <w:lang w:val="en-US" w:eastAsia="zh" w:bidi="ar"/>
          <w:woUserID w:val="2"/>
        </w:rPr>
        <w:t>的97%</w:t>
      </w:r>
      <w:r>
        <w:rPr>
          <w:rFonts w:hint="eastAsia" w:ascii="宋体" w:hAnsi="宋体" w:eastAsia="宋体" w:cs="宋体"/>
          <w:color w:val="auto"/>
          <w:szCs w:val="21"/>
          <w:highlight w:val="none"/>
          <w:lang w:val="en-US" w:eastAsia="zh" w:bidi="ar"/>
        </w:rPr>
        <w:t>，预留3%作为质保金，待工程交付使用缺陷责任期满后（无质量及其他经济法律纠纷）一次性无息支付给承包人，每次付款前，承包人需提供等额的增值税专用发票。</w:t>
      </w:r>
    </w:p>
    <w:p w14:paraId="079FEC8F">
      <w:pPr>
        <w:spacing w:line="360" w:lineRule="auto"/>
        <w:ind w:firstLine="369" w:firstLineChars="176"/>
        <w:jc w:val="left"/>
        <w:rPr>
          <w:rFonts w:hint="eastAsia" w:ascii="宋体" w:hAnsi="宋体" w:cs="宋体"/>
          <w:color w:val="auto"/>
          <w:szCs w:val="21"/>
          <w:highlight w:val="none"/>
          <w:lang w:eastAsia="zh" w:bidi="ar"/>
        </w:rPr>
      </w:pPr>
      <w:r>
        <w:rPr>
          <w:rFonts w:hint="eastAsia" w:ascii="宋体" w:hAnsi="宋体" w:eastAsia="宋体" w:cs="宋体"/>
          <w:color w:val="auto"/>
          <w:szCs w:val="21"/>
          <w:highlight w:val="none"/>
          <w:lang w:eastAsia="zh" w:bidi="ar"/>
        </w:rPr>
        <w:t>注：因发包人单位性质，需要按照国家、省级项目资金支付规定执行，承包人应对此清楚知晓，如因以上原因导致无法按时支付款项的，承包人承诺不追究发包人违约责任。</w:t>
      </w:r>
    </w:p>
    <w:p w14:paraId="4908A7FB">
      <w:pPr>
        <w:spacing w:line="360" w:lineRule="auto"/>
        <w:ind w:firstLine="369" w:firstLineChars="176"/>
        <w:jc w:val="left"/>
        <w:outlineLvl w:val="3"/>
        <w:rPr>
          <w:rFonts w:hint="eastAsia" w:ascii="宋体" w:hAnsi="宋体" w:cs="宋体"/>
          <w:color w:val="auto"/>
          <w:szCs w:val="21"/>
          <w:highlight w:val="none"/>
          <w:lang w:bidi="ar"/>
        </w:rPr>
      </w:pPr>
      <w:r>
        <w:rPr>
          <w:rFonts w:hint="eastAsia" w:ascii="宋体" w:hAnsi="宋体" w:cs="宋体"/>
          <w:color w:val="auto"/>
          <w:szCs w:val="21"/>
          <w:highlight w:val="none"/>
          <w:lang w:bidi="ar"/>
        </w:rPr>
        <w:t>10.</w:t>
      </w:r>
      <w:r>
        <w:rPr>
          <w:rFonts w:hint="eastAsia" w:ascii="宋体" w:hAnsi="宋体" w:cs="宋体"/>
          <w:color w:val="auto"/>
          <w:szCs w:val="21"/>
          <w:highlight w:val="none"/>
          <w:lang w:eastAsia="zh" w:bidi="ar"/>
        </w:rPr>
        <w:t>3</w:t>
      </w:r>
      <w:r>
        <w:rPr>
          <w:rFonts w:hint="eastAsia" w:ascii="宋体" w:hAnsi="宋体" w:cs="宋体"/>
          <w:color w:val="auto"/>
          <w:szCs w:val="21"/>
          <w:highlight w:val="none"/>
          <w:lang w:bidi="ar"/>
        </w:rPr>
        <w:t>、供应商需提供质量保证承诺及维修响应承诺，所有设备和配件质量保证期要求</w:t>
      </w:r>
      <w:r>
        <w:rPr>
          <w:rFonts w:hint="eastAsia" w:ascii="宋体" w:hAnsi="宋体" w:cs="宋体"/>
          <w:color w:val="auto"/>
          <w:szCs w:val="21"/>
          <w:highlight w:val="none"/>
          <w:lang w:eastAsia="zh" w:bidi="ar"/>
        </w:rPr>
        <w:t>2</w:t>
      </w:r>
      <w:r>
        <w:rPr>
          <w:rFonts w:hint="eastAsia" w:ascii="宋体" w:hAnsi="宋体" w:cs="宋体"/>
          <w:color w:val="auto"/>
          <w:szCs w:val="21"/>
          <w:highlight w:val="none"/>
          <w:lang w:bidi="ar"/>
        </w:rPr>
        <w:t>年全免费上门质保，设备故障报修后24小时内响应，</w:t>
      </w:r>
      <w:r>
        <w:rPr>
          <w:rFonts w:hint="eastAsia" w:ascii="宋体" w:hAnsi="宋体" w:cs="宋体"/>
          <w:color w:val="auto"/>
          <w:szCs w:val="21"/>
          <w:highlight w:val="none"/>
          <w:lang w:eastAsia="zh" w:bidi="ar"/>
          <w:woUserID w:val="3"/>
        </w:rPr>
        <w:t>保修期</w:t>
      </w:r>
      <w:r>
        <w:rPr>
          <w:rFonts w:hint="eastAsia" w:ascii="宋体" w:hAnsi="宋体" w:cs="宋体"/>
          <w:color w:val="auto"/>
          <w:szCs w:val="21"/>
          <w:highlight w:val="none"/>
          <w:lang w:bidi="ar"/>
        </w:rPr>
        <w:t>后供货商应负责上门维修。</w:t>
      </w:r>
    </w:p>
    <w:p w14:paraId="00E28C13">
      <w:pPr>
        <w:spacing w:line="360" w:lineRule="auto"/>
        <w:ind w:firstLine="369" w:firstLineChars="176"/>
        <w:jc w:val="left"/>
        <w:outlineLvl w:val="3"/>
        <w:rPr>
          <w:rFonts w:hint="eastAsia" w:ascii="宋体" w:hAnsi="宋体" w:cs="宋体"/>
          <w:color w:val="auto"/>
          <w:szCs w:val="21"/>
          <w:highlight w:val="none"/>
          <w:lang w:eastAsia="zh" w:bidi="ar"/>
        </w:rPr>
      </w:pPr>
      <w:r>
        <w:rPr>
          <w:rFonts w:hint="eastAsia" w:ascii="宋体" w:hAnsi="宋体" w:cs="宋体"/>
          <w:color w:val="auto"/>
          <w:szCs w:val="21"/>
          <w:highlight w:val="none"/>
          <w:lang w:bidi="ar"/>
        </w:rPr>
        <w:t>10.</w:t>
      </w:r>
      <w:r>
        <w:rPr>
          <w:rFonts w:hint="eastAsia" w:ascii="宋体" w:hAnsi="宋体" w:cs="宋体"/>
          <w:color w:val="auto"/>
          <w:szCs w:val="21"/>
          <w:highlight w:val="none"/>
          <w:lang w:eastAsia="zh" w:bidi="ar"/>
        </w:rPr>
        <w:t>4、因设备采购及安装造成原洁净室损失的、需负责恢复原样，</w:t>
      </w:r>
      <w:r>
        <w:rPr>
          <w:rFonts w:hint="eastAsia" w:ascii="宋体" w:hAnsi="宋体" w:cs="宋体"/>
          <w:color w:val="auto"/>
          <w:szCs w:val="21"/>
          <w:highlight w:val="none"/>
          <w:lang w:eastAsia="zh" w:bidi="ar"/>
          <w:woUserID w:val="3"/>
        </w:rPr>
        <w:t>响应文件递交</w:t>
      </w:r>
      <w:r>
        <w:rPr>
          <w:rFonts w:hint="eastAsia" w:ascii="宋体" w:hAnsi="宋体" w:cs="宋体"/>
          <w:color w:val="auto"/>
          <w:szCs w:val="21"/>
          <w:highlight w:val="none"/>
          <w:lang w:eastAsia="zh" w:bidi="ar"/>
        </w:rPr>
        <w:t>时需出具承诺函（承诺函加盖</w:t>
      </w:r>
      <w:r>
        <w:rPr>
          <w:rFonts w:hint="eastAsia" w:ascii="宋体" w:hAnsi="宋体" w:cs="宋体"/>
          <w:color w:val="auto"/>
          <w:szCs w:val="21"/>
          <w:highlight w:val="none"/>
          <w:lang w:eastAsia="zh-CN" w:bidi="ar"/>
        </w:rPr>
        <w:t>供应商</w:t>
      </w:r>
      <w:r>
        <w:rPr>
          <w:rFonts w:hint="eastAsia" w:ascii="宋体" w:hAnsi="宋体" w:cs="宋体"/>
          <w:color w:val="auto"/>
          <w:szCs w:val="21"/>
          <w:highlight w:val="none"/>
          <w:lang w:eastAsia="zh" w:bidi="ar"/>
        </w:rPr>
        <w:t>公章）。</w:t>
      </w:r>
    </w:p>
    <w:p w14:paraId="3BD28F85">
      <w:pPr>
        <w:spacing w:line="360" w:lineRule="auto"/>
        <w:ind w:firstLine="369" w:firstLineChars="176"/>
        <w:jc w:val="left"/>
        <w:outlineLvl w:val="3"/>
        <w:rPr>
          <w:rFonts w:hint="eastAsia" w:ascii="宋体" w:hAnsi="宋体" w:cs="宋体"/>
          <w:color w:val="auto"/>
          <w:szCs w:val="21"/>
          <w:highlight w:val="none"/>
          <w:lang w:bidi="ar"/>
        </w:rPr>
      </w:pPr>
      <w:r>
        <w:rPr>
          <w:rFonts w:hint="eastAsia" w:ascii="宋体" w:hAnsi="宋体" w:cs="宋体"/>
          <w:color w:val="auto"/>
          <w:szCs w:val="21"/>
          <w:highlight w:val="none"/>
          <w:lang w:bidi="ar"/>
        </w:rPr>
        <w:t>10.</w:t>
      </w:r>
      <w:r>
        <w:rPr>
          <w:rFonts w:hint="eastAsia" w:ascii="宋体" w:hAnsi="宋体" w:cs="宋体"/>
          <w:color w:val="auto"/>
          <w:szCs w:val="21"/>
          <w:highlight w:val="none"/>
          <w:lang w:eastAsia="zh" w:bidi="ar"/>
        </w:rPr>
        <w:t>5、</w:t>
      </w:r>
      <w:r>
        <w:rPr>
          <w:rFonts w:hint="eastAsia" w:ascii="宋体" w:hAnsi="宋体" w:cs="宋体"/>
          <w:color w:val="auto"/>
          <w:szCs w:val="21"/>
          <w:highlight w:val="none"/>
          <w:lang w:eastAsia="zh" w:bidi="ar"/>
          <w:woUserID w:val="3"/>
        </w:rPr>
        <w:t>响应文件递交时</w:t>
      </w:r>
      <w:r>
        <w:rPr>
          <w:rFonts w:hint="eastAsia" w:ascii="宋体" w:hAnsi="宋体" w:cs="宋体"/>
          <w:color w:val="auto"/>
          <w:szCs w:val="21"/>
          <w:highlight w:val="none"/>
          <w:lang w:eastAsia="zh" w:bidi="ar"/>
        </w:rPr>
        <w:t>需提供</w:t>
      </w:r>
      <w:r>
        <w:rPr>
          <w:rFonts w:hint="eastAsia" w:ascii="宋体" w:hAnsi="宋体" w:cs="宋体"/>
          <w:color w:val="auto"/>
          <w:szCs w:val="21"/>
          <w:highlight w:val="none"/>
          <w:lang w:eastAsia="zh" w:bidi="ar"/>
          <w:woUserID w:val="1"/>
        </w:rPr>
        <w:t>设计方案和施工方案（</w:t>
      </w:r>
      <w:r>
        <w:rPr>
          <w:rFonts w:hint="eastAsia" w:eastAsia="宋体"/>
          <w:color w:val="auto"/>
          <w:highlight w:val="none"/>
          <w:lang w:eastAsia="zh"/>
          <w:woUserID w:val="1"/>
        </w:rPr>
        <w:t>工艺电力系统二次配</w:t>
      </w:r>
      <w:r>
        <w:rPr>
          <w:rFonts w:hint="eastAsia"/>
          <w:color w:val="auto"/>
          <w:highlight w:val="none"/>
          <w:lang w:eastAsia="zh"/>
          <w:woUserID w:val="1"/>
        </w:rPr>
        <w:t>、</w:t>
      </w:r>
      <w:r>
        <w:rPr>
          <w:rFonts w:hint="eastAsia" w:eastAsia="宋体"/>
          <w:color w:val="auto"/>
          <w:highlight w:val="none"/>
          <w:lang w:eastAsia="zh"/>
          <w:woUserID w:val="1"/>
        </w:rPr>
        <w:t>工艺超纯水二次配</w:t>
      </w:r>
      <w:r>
        <w:rPr>
          <w:rFonts w:hint="eastAsia"/>
          <w:color w:val="auto"/>
          <w:highlight w:val="none"/>
          <w:lang w:eastAsia="zh"/>
          <w:woUserID w:val="1"/>
        </w:rPr>
        <w:t>、</w:t>
      </w:r>
      <w:r>
        <w:rPr>
          <w:rFonts w:hint="eastAsia" w:eastAsia="宋体"/>
          <w:color w:val="auto"/>
          <w:highlight w:val="none"/>
          <w:lang w:eastAsia="zh"/>
          <w:woUserID w:val="1"/>
        </w:rPr>
        <w:t>工艺排气系统二次配</w:t>
      </w:r>
      <w:r>
        <w:rPr>
          <w:rFonts w:hint="eastAsia"/>
          <w:color w:val="auto"/>
          <w:highlight w:val="none"/>
          <w:lang w:eastAsia="zh"/>
          <w:woUserID w:val="1"/>
        </w:rPr>
        <w:t>、</w:t>
      </w:r>
      <w:r>
        <w:rPr>
          <w:rFonts w:hint="eastAsia" w:eastAsia="宋体"/>
          <w:color w:val="auto"/>
          <w:highlight w:val="none"/>
          <w:lang w:eastAsia="zh"/>
          <w:woUserID w:val="1"/>
        </w:rPr>
        <w:t>工艺排水与排液二次配</w:t>
      </w:r>
      <w:r>
        <w:rPr>
          <w:rFonts w:hint="eastAsia"/>
          <w:color w:val="auto"/>
          <w:highlight w:val="none"/>
          <w:lang w:eastAsia="zh"/>
          <w:woUserID w:val="1"/>
        </w:rPr>
        <w:t>、</w:t>
      </w:r>
      <w:r>
        <w:rPr>
          <w:rFonts w:hint="eastAsia" w:eastAsia="宋体"/>
          <w:color w:val="auto"/>
          <w:highlight w:val="none"/>
          <w:lang w:eastAsia="zh"/>
          <w:woUserID w:val="1"/>
        </w:rPr>
        <w:t>工艺气体二次配</w:t>
      </w:r>
      <w:r>
        <w:rPr>
          <w:rFonts w:hint="eastAsia"/>
          <w:color w:val="auto"/>
          <w:highlight w:val="none"/>
          <w:lang w:eastAsia="zh"/>
          <w:woUserID w:val="1"/>
        </w:rPr>
        <w:t>、</w:t>
      </w:r>
      <w:r>
        <w:rPr>
          <w:rFonts w:hint="eastAsia" w:eastAsia="宋体"/>
          <w:color w:val="auto"/>
          <w:highlight w:val="none"/>
          <w:lang w:eastAsia="zh"/>
          <w:woUserID w:val="1"/>
        </w:rPr>
        <w:t>工艺冷却水系统二次配</w:t>
      </w:r>
      <w:r>
        <w:rPr>
          <w:rFonts w:hint="eastAsia"/>
          <w:color w:val="auto"/>
          <w:highlight w:val="none"/>
          <w:lang w:eastAsia="zh"/>
          <w:woUserID w:val="1"/>
        </w:rPr>
        <w:t>、</w:t>
      </w:r>
      <w:r>
        <w:rPr>
          <w:rFonts w:hint="eastAsia" w:eastAsia="宋体"/>
          <w:color w:val="auto"/>
          <w:highlight w:val="none"/>
          <w:lang w:eastAsia="zh"/>
          <w:woUserID w:val="1"/>
        </w:rPr>
        <w:t>尾气处理及真空管路二次配</w:t>
      </w:r>
      <w:r>
        <w:rPr>
          <w:rFonts w:hint="eastAsia"/>
          <w:color w:val="auto"/>
          <w:highlight w:val="none"/>
          <w:lang w:eastAsia="zh"/>
          <w:woUserID w:val="1"/>
        </w:rPr>
        <w:t>），</w:t>
      </w:r>
      <w:r>
        <w:rPr>
          <w:rFonts w:hint="eastAsia" w:ascii="宋体" w:hAnsi="宋体" w:cs="宋体"/>
          <w:color w:val="auto"/>
          <w:szCs w:val="21"/>
          <w:highlight w:val="none"/>
          <w:lang w:bidi="ar"/>
        </w:rPr>
        <w:t>施工及检测核心设备明细单，并加盖公章。</w:t>
      </w:r>
    </w:p>
    <w:p w14:paraId="1AE20514">
      <w:pPr>
        <w:widowControl/>
        <w:spacing w:line="360" w:lineRule="auto"/>
        <w:jc w:val="center"/>
        <w:rPr>
          <w:rFonts w:ascii="宋体" w:hAnsi="宋体" w:cs="宋体"/>
          <w:b/>
          <w:bCs/>
          <w:color w:val="auto"/>
          <w:sz w:val="24"/>
          <w:highlight w:val="none"/>
        </w:rPr>
      </w:pPr>
    </w:p>
    <w:p w14:paraId="1DB7D83C">
      <w:pPr>
        <w:pStyle w:val="43"/>
        <w:ind w:left="0" w:leftChars="0" w:firstLine="0" w:firstLineChars="0"/>
        <w:rPr>
          <w:color w:val="auto"/>
          <w:highlight w:val="none"/>
        </w:rPr>
      </w:pPr>
    </w:p>
    <w:p w14:paraId="552F9A72">
      <w:pPr>
        <w:rPr>
          <w:color w:val="auto"/>
          <w:highlight w:val="none"/>
        </w:rPr>
      </w:pPr>
      <w:bookmarkStart w:id="1081" w:name="_Toc10647"/>
      <w:bookmarkStart w:id="1082" w:name="_Toc31284"/>
      <w:r>
        <w:rPr>
          <w:rFonts w:hint="eastAsia"/>
          <w:color w:val="auto"/>
          <w:highlight w:val="none"/>
        </w:rPr>
        <w:br w:type="page"/>
      </w:r>
    </w:p>
    <w:p w14:paraId="11EAA41B">
      <w:pPr>
        <w:pStyle w:val="2"/>
        <w:numPr>
          <w:ilvl w:val="0"/>
          <w:numId w:val="0"/>
        </w:numPr>
        <w:jc w:val="center"/>
        <w:rPr>
          <w:color w:val="auto"/>
          <w:sz w:val="40"/>
          <w:szCs w:val="52"/>
          <w:highlight w:val="none"/>
        </w:rPr>
      </w:pPr>
      <w:bookmarkStart w:id="1083" w:name="_Toc27362"/>
      <w:r>
        <w:rPr>
          <w:rFonts w:hint="eastAsia"/>
          <w:color w:val="auto"/>
          <w:sz w:val="40"/>
          <w:szCs w:val="52"/>
          <w:highlight w:val="none"/>
        </w:rPr>
        <w:t>第</w:t>
      </w:r>
      <w:r>
        <w:rPr>
          <w:rFonts w:hint="eastAsia"/>
          <w:color w:val="auto"/>
          <w:sz w:val="40"/>
          <w:szCs w:val="52"/>
          <w:highlight w:val="none"/>
          <w:lang w:eastAsia="zh-CN"/>
        </w:rPr>
        <w:t>六</w:t>
      </w:r>
      <w:r>
        <w:rPr>
          <w:rFonts w:hint="eastAsia"/>
          <w:color w:val="auto"/>
          <w:sz w:val="40"/>
          <w:szCs w:val="52"/>
          <w:highlight w:val="none"/>
        </w:rPr>
        <w:t>章 竞争性磋商响应文件格式</w:t>
      </w:r>
      <w:bookmarkEnd w:id="1081"/>
      <w:bookmarkEnd w:id="1082"/>
      <w:bookmarkEnd w:id="1083"/>
    </w:p>
    <w:bookmarkEnd w:id="878"/>
    <w:bookmarkEnd w:id="879"/>
    <w:bookmarkEnd w:id="880"/>
    <w:p w14:paraId="12046AFE">
      <w:pPr>
        <w:spacing w:line="400" w:lineRule="exact"/>
        <w:rPr>
          <w:rFonts w:ascii="宋体" w:hAnsi="宋体" w:cs="宋体"/>
          <w:color w:val="auto"/>
          <w:highlight w:val="none"/>
        </w:rPr>
      </w:pPr>
    </w:p>
    <w:p w14:paraId="4C8DA3E5">
      <w:pPr>
        <w:rPr>
          <w:rFonts w:ascii="宋体" w:hAnsi="宋体" w:cs="宋体"/>
          <w:color w:val="auto"/>
          <w:highlight w:val="none"/>
        </w:rPr>
      </w:pPr>
    </w:p>
    <w:p w14:paraId="7B36D2F2">
      <w:pPr>
        <w:jc w:val="center"/>
        <w:rPr>
          <w:rFonts w:ascii="宋体" w:hAnsi="宋体" w:cs="宋体"/>
          <w:b/>
          <w:bCs/>
          <w:color w:val="auto"/>
          <w:sz w:val="48"/>
          <w:szCs w:val="48"/>
          <w:highlight w:val="none"/>
        </w:rPr>
      </w:pPr>
      <w:bookmarkStart w:id="1084" w:name="_Toc565"/>
      <w:bookmarkStart w:id="1085" w:name="_Toc3567"/>
      <w:bookmarkStart w:id="1086" w:name="_Toc10486"/>
      <w:bookmarkStart w:id="1087" w:name="_Toc30720"/>
      <w:r>
        <w:rPr>
          <w:rFonts w:hint="eastAsia" w:ascii="宋体" w:hAnsi="宋体" w:cs="宋体"/>
          <w:b/>
          <w:bCs/>
          <w:color w:val="auto"/>
          <w:sz w:val="48"/>
          <w:szCs w:val="48"/>
          <w:highlight w:val="none"/>
          <w:u w:val="single"/>
        </w:rPr>
        <w:t xml:space="preserve">    （项目名称）    </w:t>
      </w:r>
      <w:bookmarkEnd w:id="1084"/>
      <w:bookmarkEnd w:id="1085"/>
      <w:bookmarkEnd w:id="1086"/>
      <w:bookmarkEnd w:id="1087"/>
    </w:p>
    <w:p w14:paraId="69E0C265">
      <w:pPr>
        <w:rPr>
          <w:rFonts w:ascii="宋体" w:hAnsi="宋体" w:cs="宋体"/>
          <w:color w:val="auto"/>
          <w:highlight w:val="none"/>
        </w:rPr>
      </w:pPr>
    </w:p>
    <w:p w14:paraId="33E028B0">
      <w:pPr>
        <w:pStyle w:val="50"/>
        <w:rPr>
          <w:rFonts w:hAnsi="宋体"/>
          <w:color w:val="auto"/>
          <w:highlight w:val="none"/>
        </w:rPr>
      </w:pPr>
    </w:p>
    <w:p w14:paraId="056747E7">
      <w:pPr>
        <w:pStyle w:val="50"/>
        <w:rPr>
          <w:rFonts w:hAnsi="宋体"/>
          <w:color w:val="auto"/>
          <w:highlight w:val="none"/>
        </w:rPr>
      </w:pPr>
    </w:p>
    <w:p w14:paraId="7C6D1BF3">
      <w:pPr>
        <w:jc w:val="center"/>
        <w:rPr>
          <w:rFonts w:ascii="宋体" w:hAnsi="宋体" w:cs="宋体"/>
          <w:b/>
          <w:bCs/>
          <w:color w:val="auto"/>
          <w:sz w:val="72"/>
          <w:szCs w:val="72"/>
          <w:highlight w:val="none"/>
        </w:rPr>
      </w:pPr>
      <w:bookmarkStart w:id="1088" w:name="_Toc21121"/>
      <w:bookmarkStart w:id="1089" w:name="_Toc14199"/>
      <w:bookmarkStart w:id="1090" w:name="_Toc28106"/>
      <w:bookmarkStart w:id="1091" w:name="_Toc2462"/>
    </w:p>
    <w:p w14:paraId="58D85A2A">
      <w:pPr>
        <w:jc w:val="center"/>
        <w:rPr>
          <w:rFonts w:ascii="宋体" w:hAnsi="宋体" w:cs="宋体"/>
          <w:b/>
          <w:bCs/>
          <w:color w:val="auto"/>
          <w:sz w:val="72"/>
          <w:szCs w:val="72"/>
          <w:highlight w:val="none"/>
        </w:rPr>
      </w:pPr>
    </w:p>
    <w:p w14:paraId="08DAD095">
      <w:pPr>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bookmarkEnd w:id="1088"/>
      <w:bookmarkEnd w:id="1089"/>
      <w:bookmarkEnd w:id="1090"/>
      <w:bookmarkEnd w:id="1091"/>
    </w:p>
    <w:p w14:paraId="435C1BDD">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项目编号：</w:t>
      </w:r>
    </w:p>
    <w:p w14:paraId="43A5DF27">
      <w:pPr>
        <w:rPr>
          <w:rFonts w:ascii="宋体" w:hAnsi="宋体" w:cs="宋体"/>
          <w:color w:val="auto"/>
          <w:highlight w:val="none"/>
        </w:rPr>
      </w:pPr>
    </w:p>
    <w:p w14:paraId="41244D8C">
      <w:pPr>
        <w:rPr>
          <w:rFonts w:ascii="宋体" w:hAnsi="宋体" w:cs="宋体"/>
          <w:color w:val="auto"/>
          <w:highlight w:val="none"/>
        </w:rPr>
      </w:pPr>
    </w:p>
    <w:p w14:paraId="6B62C8B4">
      <w:pPr>
        <w:rPr>
          <w:rFonts w:ascii="宋体" w:hAnsi="宋体" w:cs="宋体"/>
          <w:color w:val="auto"/>
          <w:highlight w:val="none"/>
        </w:rPr>
      </w:pPr>
    </w:p>
    <w:p w14:paraId="3EF4029D">
      <w:pPr>
        <w:pStyle w:val="50"/>
        <w:rPr>
          <w:rFonts w:hAnsi="宋体"/>
          <w:color w:val="auto"/>
          <w:highlight w:val="none"/>
        </w:rPr>
      </w:pPr>
    </w:p>
    <w:p w14:paraId="160840B9">
      <w:pPr>
        <w:pStyle w:val="50"/>
        <w:rPr>
          <w:rFonts w:hAnsi="宋体"/>
          <w:color w:val="auto"/>
          <w:highlight w:val="none"/>
        </w:rPr>
      </w:pPr>
    </w:p>
    <w:p w14:paraId="502DE46B">
      <w:pPr>
        <w:pStyle w:val="50"/>
        <w:rPr>
          <w:rFonts w:hAnsi="宋体"/>
          <w:color w:val="auto"/>
          <w:highlight w:val="none"/>
        </w:rPr>
      </w:pPr>
    </w:p>
    <w:p w14:paraId="74399254">
      <w:pPr>
        <w:pStyle w:val="50"/>
        <w:rPr>
          <w:rFonts w:hAnsi="宋体"/>
          <w:color w:val="auto"/>
          <w:highlight w:val="none"/>
        </w:rPr>
      </w:pPr>
    </w:p>
    <w:p w14:paraId="17029E94">
      <w:pPr>
        <w:pStyle w:val="50"/>
        <w:rPr>
          <w:rFonts w:hAnsi="宋体"/>
          <w:color w:val="auto"/>
          <w:highlight w:val="none"/>
        </w:rPr>
      </w:pPr>
    </w:p>
    <w:p w14:paraId="48386964">
      <w:pPr>
        <w:pStyle w:val="50"/>
        <w:rPr>
          <w:rFonts w:hAnsi="宋体"/>
          <w:color w:val="auto"/>
          <w:highlight w:val="none"/>
        </w:rPr>
      </w:pPr>
    </w:p>
    <w:p w14:paraId="1224FEEF">
      <w:pPr>
        <w:pStyle w:val="50"/>
        <w:rPr>
          <w:rFonts w:hAnsi="宋体"/>
          <w:color w:val="auto"/>
          <w:highlight w:val="none"/>
        </w:rPr>
      </w:pPr>
    </w:p>
    <w:p w14:paraId="07522BED">
      <w:pPr>
        <w:ind w:firstLine="789" w:firstLineChars="262"/>
        <w:rPr>
          <w:rFonts w:ascii="宋体" w:hAnsi="宋体" w:cs="宋体"/>
          <w:b/>
          <w:bCs/>
          <w:color w:val="auto"/>
          <w:sz w:val="30"/>
          <w:szCs w:val="30"/>
          <w:highlight w:val="none"/>
        </w:rPr>
      </w:pPr>
      <w:bookmarkStart w:id="1092" w:name="_Toc13794"/>
      <w:bookmarkStart w:id="1093" w:name="_Toc6031"/>
      <w:bookmarkStart w:id="1094" w:name="_Toc18691"/>
      <w:bookmarkStart w:id="1095" w:name="_Toc23955"/>
      <w:r>
        <w:rPr>
          <w:rFonts w:hint="eastAsia" w:ascii="宋体" w:hAnsi="宋体" w:cs="宋体"/>
          <w:b/>
          <w:bCs/>
          <w:color w:val="auto"/>
          <w:sz w:val="30"/>
          <w:szCs w:val="30"/>
          <w:highlight w:val="none"/>
          <w:lang w:eastAsia="zh-CN"/>
        </w:rPr>
        <w:t>供应商</w:t>
      </w:r>
      <w:r>
        <w:rPr>
          <w:rFonts w:hint="eastAsia" w:ascii="宋体" w:hAnsi="宋体" w:cs="宋体"/>
          <w:b/>
          <w:bCs/>
          <w:color w:val="auto"/>
          <w:sz w:val="30"/>
          <w:szCs w:val="30"/>
          <w:highlight w:val="none"/>
        </w:rPr>
        <w:t>：             （盖单位章）</w:t>
      </w:r>
      <w:bookmarkEnd w:id="1092"/>
      <w:bookmarkEnd w:id="1093"/>
      <w:bookmarkEnd w:id="1094"/>
      <w:bookmarkEnd w:id="1095"/>
    </w:p>
    <w:p w14:paraId="48D474AA">
      <w:pPr>
        <w:ind w:firstLine="789" w:firstLineChars="262"/>
        <w:rPr>
          <w:rFonts w:ascii="宋体" w:hAnsi="宋体" w:cs="宋体"/>
          <w:b/>
          <w:bCs/>
          <w:color w:val="auto"/>
          <w:sz w:val="30"/>
          <w:szCs w:val="30"/>
          <w:highlight w:val="none"/>
        </w:rPr>
      </w:pPr>
      <w:bookmarkStart w:id="1096" w:name="_Toc11606"/>
      <w:bookmarkStart w:id="1097" w:name="_Toc19354"/>
      <w:bookmarkStart w:id="1098" w:name="_Toc20115"/>
      <w:bookmarkStart w:id="1099" w:name="_Toc27888"/>
      <w:r>
        <w:rPr>
          <w:rFonts w:hint="eastAsia" w:ascii="宋体" w:hAnsi="宋体" w:cs="宋体"/>
          <w:b/>
          <w:bCs/>
          <w:color w:val="auto"/>
          <w:sz w:val="30"/>
          <w:szCs w:val="30"/>
          <w:highlight w:val="none"/>
        </w:rPr>
        <w:t>法定代表人或其授权委托人：             （签字或盖章）</w:t>
      </w:r>
      <w:bookmarkEnd w:id="1096"/>
      <w:bookmarkEnd w:id="1097"/>
      <w:bookmarkEnd w:id="1098"/>
      <w:bookmarkEnd w:id="1099"/>
    </w:p>
    <w:p w14:paraId="6DD2E649">
      <w:pPr>
        <w:ind w:firstLine="789" w:firstLineChars="262"/>
        <w:rPr>
          <w:rFonts w:ascii="宋体" w:hAnsi="宋体" w:cs="宋体"/>
          <w:b/>
          <w:bCs/>
          <w:color w:val="auto"/>
          <w:sz w:val="30"/>
          <w:szCs w:val="30"/>
          <w:highlight w:val="none"/>
        </w:rPr>
      </w:pPr>
      <w:bookmarkStart w:id="1100" w:name="_Toc15757"/>
      <w:bookmarkStart w:id="1101" w:name="_Toc7615"/>
      <w:bookmarkStart w:id="1102" w:name="_Toc508"/>
      <w:bookmarkStart w:id="1103" w:name="_Toc3878"/>
      <w:r>
        <w:rPr>
          <w:rFonts w:hint="eastAsia" w:ascii="宋体" w:hAnsi="宋体" w:cs="宋体"/>
          <w:b/>
          <w:bCs/>
          <w:color w:val="auto"/>
          <w:sz w:val="30"/>
          <w:szCs w:val="30"/>
          <w:highlight w:val="none"/>
        </w:rPr>
        <w:t>日      期：        年    月    日</w:t>
      </w:r>
      <w:bookmarkEnd w:id="1100"/>
      <w:bookmarkEnd w:id="1101"/>
      <w:bookmarkEnd w:id="1102"/>
      <w:bookmarkEnd w:id="1103"/>
    </w:p>
    <w:p w14:paraId="30455EE6">
      <w:pPr>
        <w:spacing w:line="400" w:lineRule="exact"/>
        <w:jc w:val="center"/>
        <w:rPr>
          <w:rFonts w:ascii="宋体" w:hAnsi="宋体" w:cs="宋体"/>
          <w:color w:val="auto"/>
          <w:sz w:val="28"/>
          <w:szCs w:val="28"/>
          <w:highlight w:val="none"/>
        </w:rPr>
      </w:pPr>
    </w:p>
    <w:p w14:paraId="5B5DBAA5">
      <w:pPr>
        <w:spacing w:line="440" w:lineRule="exact"/>
        <w:rPr>
          <w:rFonts w:ascii="宋体" w:hAnsi="宋体" w:cs="宋体"/>
          <w:color w:val="auto"/>
          <w:sz w:val="20"/>
          <w:szCs w:val="20"/>
          <w:highlight w:val="none"/>
        </w:rPr>
      </w:pPr>
    </w:p>
    <w:p w14:paraId="503312B3">
      <w:pPr>
        <w:spacing w:line="400" w:lineRule="exact"/>
        <w:rPr>
          <w:rFonts w:ascii="宋体" w:hAnsi="宋体" w:cs="宋体"/>
          <w:color w:val="auto"/>
          <w:highlight w:val="none"/>
        </w:rPr>
      </w:pPr>
      <w:r>
        <w:rPr>
          <w:rFonts w:hint="eastAsia" w:ascii="宋体" w:hAnsi="宋体" w:cs="宋体"/>
          <w:color w:val="auto"/>
          <w:highlight w:val="none"/>
        </w:rPr>
        <w:br w:type="page"/>
      </w:r>
    </w:p>
    <w:p w14:paraId="04FF315D">
      <w:pPr>
        <w:jc w:val="center"/>
        <w:rPr>
          <w:b/>
          <w:bCs/>
          <w:color w:val="auto"/>
          <w:sz w:val="40"/>
          <w:szCs w:val="48"/>
          <w:highlight w:val="none"/>
        </w:rPr>
      </w:pPr>
      <w:bookmarkStart w:id="1104" w:name="_Toc7895"/>
      <w:bookmarkStart w:id="1105" w:name="_Toc8978"/>
      <w:bookmarkStart w:id="1106" w:name="_Toc144974856"/>
      <w:bookmarkStart w:id="1107" w:name="_Toc22019"/>
      <w:bookmarkStart w:id="1108" w:name="_Toc152042576"/>
      <w:bookmarkStart w:id="1109" w:name="_Toc466298157"/>
      <w:bookmarkStart w:id="1110" w:name="_Toc152045787"/>
      <w:bookmarkStart w:id="1111" w:name="_Toc28437"/>
      <w:bookmarkStart w:id="1112" w:name="_Toc28082"/>
      <w:bookmarkStart w:id="1113" w:name="_Toc3304"/>
      <w:r>
        <w:rPr>
          <w:rFonts w:hint="eastAsia"/>
          <w:b/>
          <w:bCs/>
          <w:color w:val="auto"/>
          <w:sz w:val="40"/>
          <w:szCs w:val="48"/>
          <w:highlight w:val="none"/>
        </w:rPr>
        <w:t>目    录</w:t>
      </w:r>
      <w:bookmarkEnd w:id="1104"/>
      <w:bookmarkEnd w:id="1105"/>
      <w:bookmarkEnd w:id="1106"/>
      <w:bookmarkEnd w:id="1107"/>
      <w:bookmarkEnd w:id="1108"/>
      <w:bookmarkEnd w:id="1109"/>
      <w:bookmarkEnd w:id="1110"/>
      <w:bookmarkEnd w:id="1111"/>
      <w:bookmarkEnd w:id="1112"/>
      <w:bookmarkEnd w:id="1113"/>
    </w:p>
    <w:p w14:paraId="2596F816">
      <w:pPr>
        <w:rPr>
          <w:rFonts w:ascii="宋体" w:hAnsi="宋体" w:cs="宋体"/>
          <w:color w:val="auto"/>
          <w:highlight w:val="none"/>
        </w:rPr>
      </w:pPr>
      <w:bookmarkStart w:id="1114" w:name="_Toc466298158"/>
      <w:bookmarkStart w:id="1115" w:name="_Toc152042577"/>
      <w:bookmarkStart w:id="1116" w:name="_Toc152045788"/>
      <w:bookmarkStart w:id="1117" w:name="_Toc144974857"/>
    </w:p>
    <w:p w14:paraId="30F8D8DD">
      <w:pPr>
        <w:jc w:val="center"/>
        <w:rPr>
          <w:rFonts w:ascii="宋体" w:hAnsi="宋体" w:cs="宋体"/>
          <w:color w:val="auto"/>
          <w:szCs w:val="21"/>
          <w:highlight w:val="none"/>
        </w:rPr>
      </w:pPr>
    </w:p>
    <w:p w14:paraId="446B69AF">
      <w:pPr>
        <w:jc w:val="center"/>
        <w:rPr>
          <w:rFonts w:ascii="宋体" w:hAnsi="宋体" w:cs="宋体"/>
          <w:color w:val="auto"/>
          <w:szCs w:val="21"/>
          <w:highlight w:val="none"/>
        </w:rPr>
      </w:pPr>
      <w:r>
        <w:rPr>
          <w:rFonts w:hint="eastAsia" w:ascii="宋体" w:hAnsi="宋体" w:cs="宋体"/>
          <w:color w:val="auto"/>
          <w:szCs w:val="21"/>
          <w:highlight w:val="none"/>
        </w:rPr>
        <w:t>格式自拟</w:t>
      </w:r>
    </w:p>
    <w:p w14:paraId="12C3D5E2">
      <w:pPr>
        <w:pStyle w:val="6"/>
        <w:rPr>
          <w:rFonts w:ascii="宋体" w:hAnsi="宋体" w:cs="宋体"/>
          <w:color w:val="auto"/>
          <w:highlight w:val="none"/>
        </w:rPr>
      </w:pPr>
    </w:p>
    <w:p w14:paraId="259ABC72">
      <w:pPr>
        <w:spacing w:line="360" w:lineRule="auto"/>
        <w:ind w:firstLine="211" w:firstLineChars="100"/>
        <w:rPr>
          <w:rFonts w:ascii="宋体" w:hAnsi="宋体" w:cs="宋体"/>
          <w:color w:val="auto"/>
          <w:highlight w:val="none"/>
        </w:rPr>
      </w:pPr>
      <w:r>
        <w:rPr>
          <w:rFonts w:hint="eastAsia" w:ascii="宋体" w:hAnsi="宋体" w:cs="宋体"/>
          <w:b/>
          <w:color w:val="auto"/>
          <w:highlight w:val="none"/>
        </w:rPr>
        <w:br w:type="page"/>
      </w:r>
      <w:bookmarkEnd w:id="1114"/>
      <w:bookmarkEnd w:id="1115"/>
      <w:bookmarkEnd w:id="1116"/>
      <w:bookmarkEnd w:id="1117"/>
      <w:bookmarkStart w:id="1118" w:name="_Toc152042580"/>
      <w:bookmarkStart w:id="1119" w:name="_Toc152045791"/>
      <w:bookmarkStart w:id="1120" w:name="_Toc287367268"/>
      <w:bookmarkStart w:id="1121" w:name="_Toc144974860"/>
      <w:bookmarkStart w:id="1122" w:name="_Toc20618"/>
      <w:bookmarkStart w:id="1123" w:name="_Toc9541"/>
      <w:bookmarkStart w:id="1124" w:name="_Toc447265403"/>
    </w:p>
    <w:p w14:paraId="5871FD61">
      <w:pPr>
        <w:pStyle w:val="3"/>
        <w:rPr>
          <w:color w:val="auto"/>
          <w:highlight w:val="none"/>
        </w:rPr>
      </w:pPr>
      <w:bookmarkStart w:id="1125" w:name="_Toc22323"/>
      <w:bookmarkStart w:id="1126" w:name="_Toc13580"/>
      <w:bookmarkStart w:id="1127" w:name="_Toc21892"/>
      <w:bookmarkStart w:id="1128" w:name="_Toc9508"/>
      <w:bookmarkStart w:id="1129" w:name="_Toc30805"/>
      <w:bookmarkStart w:id="1130" w:name="_Toc466298161"/>
      <w:bookmarkStart w:id="1131" w:name="_Toc24574"/>
      <w:bookmarkStart w:id="1132" w:name="_Toc18532"/>
      <w:r>
        <w:rPr>
          <w:rFonts w:hint="eastAsia"/>
          <w:color w:val="auto"/>
          <w:highlight w:val="none"/>
        </w:rPr>
        <w:t>一、磋商函及磋商函附录</w:t>
      </w:r>
      <w:bookmarkEnd w:id="1125"/>
      <w:bookmarkEnd w:id="1126"/>
      <w:bookmarkEnd w:id="1127"/>
    </w:p>
    <w:p w14:paraId="0BD65630">
      <w:pPr>
        <w:numPr>
          <w:ilvl w:val="0"/>
          <w:numId w:val="10"/>
        </w:numPr>
        <w:spacing w:line="360" w:lineRule="auto"/>
        <w:jc w:val="center"/>
        <w:outlineLvl w:val="1"/>
        <w:rPr>
          <w:rFonts w:ascii="宋体" w:hAnsi="宋体" w:cs="宋体"/>
          <w:b/>
          <w:bCs/>
          <w:color w:val="auto"/>
          <w:sz w:val="24"/>
          <w:highlight w:val="none"/>
        </w:rPr>
      </w:pPr>
      <w:bookmarkStart w:id="1133" w:name="_Toc13631"/>
      <w:bookmarkStart w:id="1134" w:name="_Toc14786"/>
      <w:bookmarkStart w:id="1135" w:name="_Toc32677"/>
      <w:r>
        <w:rPr>
          <w:rFonts w:hint="eastAsia" w:ascii="宋体" w:hAnsi="宋体" w:cs="宋体"/>
          <w:b/>
          <w:bCs/>
          <w:color w:val="auto"/>
          <w:sz w:val="24"/>
          <w:highlight w:val="none"/>
        </w:rPr>
        <w:t>磋商函</w:t>
      </w:r>
      <w:bookmarkEnd w:id="1133"/>
      <w:bookmarkEnd w:id="1134"/>
      <w:bookmarkEnd w:id="1135"/>
    </w:p>
    <w:p w14:paraId="468F0A57">
      <w:pPr>
        <w:spacing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w:t>
      </w:r>
    </w:p>
    <w:p w14:paraId="6B71BE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根据贵方发出的磋商文件，经详细研究，我方郑重声明以下几条并负法律责任。</w:t>
      </w:r>
    </w:p>
    <w:p w14:paraId="087D49D3">
      <w:pPr>
        <w:numPr>
          <w:ilvl w:val="0"/>
          <w:numId w:val="11"/>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我方愿按照磋商文件中的条款和要求，提供本项目的采购内容，</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报价为（大写）</w:t>
      </w:r>
    </w:p>
    <w:p w14:paraId="7BD4FD69">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
          <w:woUserID w:val="3"/>
        </w:rPr>
        <w:t>保修期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缺陷责任期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质量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4C59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（2）如果我方的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被接受，我方将履行磋商文件中规定的各项要求。</w:t>
      </w:r>
    </w:p>
    <w:p w14:paraId="5518D4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（3）我方同意按磋商文件中的规定，本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有效期为60日历天，自提交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的截止之日起算。</w:t>
      </w:r>
    </w:p>
    <w:p w14:paraId="00E794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（4）我方愿提供磋商文件中要求的所有文件资料。</w:t>
      </w:r>
    </w:p>
    <w:p w14:paraId="78302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（5）我方承认最低报价是中标的重要选择，但不是唯一标准，同时我方也理解采购人和采购代理机构有权不解释未中标原因，而无须承担任何责任。</w:t>
      </w:r>
    </w:p>
    <w:p w14:paraId="369CFB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（6）我方已经详细审核了全部磋商文件，包括修改、补充的文件（如有）和参考资料及有关附件，我方完全理解并同意放弃对这方面有不明及误解的权利。</w:t>
      </w:r>
    </w:p>
    <w:p w14:paraId="010581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（7）我方愿按《中华人民共和国民法典》履行自己的全部责任。</w:t>
      </w:r>
    </w:p>
    <w:p w14:paraId="0C03ABD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（其他补充内容）          。 </w:t>
      </w:r>
    </w:p>
    <w:p w14:paraId="1863A7F2">
      <w:pPr>
        <w:spacing w:line="360" w:lineRule="auto"/>
        <w:rPr>
          <w:rFonts w:ascii="宋体" w:hAnsi="宋体" w:cs="宋体"/>
          <w:color w:val="auto"/>
          <w:szCs w:val="21"/>
          <w:highlight w:val="none"/>
        </w:rPr>
      </w:pPr>
    </w:p>
    <w:p w14:paraId="67B40285">
      <w:pPr>
        <w:spacing w:line="360" w:lineRule="auto"/>
        <w:ind w:firstLine="3780" w:firstLineChars="1800"/>
        <w:rPr>
          <w:rFonts w:ascii="宋体" w:hAnsi="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r>
        <w:rPr>
          <w:rFonts w:hint="eastAsia" w:ascii="宋体" w:hAnsi="宋体" w:cs="宋体"/>
          <w:color w:val="auto"/>
          <w:szCs w:val="21"/>
          <w:highlight w:val="none"/>
          <w:u w:val="single"/>
        </w:rPr>
        <w:t xml:space="preserve">                   （盖章）</w:t>
      </w:r>
    </w:p>
    <w:p w14:paraId="3DA5DE47">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法定代表人或其授权委托人：</w:t>
      </w:r>
      <w:r>
        <w:rPr>
          <w:rFonts w:hint="eastAsia" w:ascii="宋体" w:hAnsi="宋体" w:cs="宋体"/>
          <w:color w:val="auto"/>
          <w:szCs w:val="21"/>
          <w:highlight w:val="none"/>
          <w:u w:val="single"/>
        </w:rPr>
        <w:t>（签字或盖章）</w:t>
      </w:r>
    </w:p>
    <w:p w14:paraId="16B577FC">
      <w:pPr>
        <w:spacing w:line="360" w:lineRule="auto"/>
        <w:ind w:firstLine="3780" w:firstLineChars="180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50572A86">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20D25800">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16F32666">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年     月      日</w:t>
      </w:r>
    </w:p>
    <w:p w14:paraId="723F4833">
      <w:pPr>
        <w:numPr>
          <w:ilvl w:val="0"/>
          <w:numId w:val="10"/>
        </w:numPr>
        <w:jc w:val="center"/>
        <w:outlineLvl w:val="1"/>
        <w:rPr>
          <w:rFonts w:ascii="宋体" w:hAnsi="宋体" w:cs="宋体"/>
          <w:b/>
          <w:bCs/>
          <w:color w:val="auto"/>
          <w:sz w:val="24"/>
          <w:highlight w:val="none"/>
        </w:rPr>
      </w:pPr>
      <w:r>
        <w:rPr>
          <w:rFonts w:hint="eastAsia" w:ascii="宋体" w:hAnsi="宋体" w:cs="宋体"/>
          <w:color w:val="auto"/>
          <w:highlight w:val="none"/>
        </w:rPr>
        <w:br w:type="page"/>
      </w:r>
      <w:bookmarkStart w:id="1136" w:name="_Toc15454"/>
      <w:bookmarkStart w:id="1137" w:name="_Toc9037"/>
      <w:bookmarkStart w:id="1138" w:name="_Toc21424"/>
      <w:r>
        <w:rPr>
          <w:rFonts w:hint="eastAsia" w:ascii="宋体" w:hAnsi="宋体" w:cs="宋体"/>
          <w:b/>
          <w:bCs/>
          <w:color w:val="auto"/>
          <w:sz w:val="24"/>
          <w:highlight w:val="none"/>
        </w:rPr>
        <w:t>磋商函附录</w:t>
      </w:r>
      <w:bookmarkEnd w:id="1136"/>
      <w:bookmarkEnd w:id="1137"/>
      <w:bookmarkEnd w:id="1138"/>
    </w:p>
    <w:tbl>
      <w:tblPr>
        <w:tblStyle w:val="27"/>
        <w:tblpPr w:leftFromText="180" w:rightFromText="180" w:vertAnchor="text" w:horzAnchor="page" w:tblpX="1343" w:tblpY="276"/>
        <w:tblOverlap w:val="never"/>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7197"/>
      </w:tblGrid>
      <w:tr w14:paraId="66A0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7DA7018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供应商名称</w:t>
            </w:r>
          </w:p>
        </w:tc>
        <w:tc>
          <w:tcPr>
            <w:tcW w:w="7197" w:type="dxa"/>
            <w:vAlign w:val="center"/>
          </w:tcPr>
          <w:p w14:paraId="25E0DAD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6846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422" w:type="dxa"/>
            <w:vAlign w:val="center"/>
          </w:tcPr>
          <w:p w14:paraId="169A542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报价（元）</w:t>
            </w:r>
          </w:p>
        </w:tc>
        <w:tc>
          <w:tcPr>
            <w:tcW w:w="7197" w:type="dxa"/>
            <w:vAlign w:val="center"/>
          </w:tcPr>
          <w:p w14:paraId="6E1C2BA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大写：</w:t>
            </w:r>
          </w:p>
          <w:p w14:paraId="7D55ED8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小写：</w:t>
            </w:r>
          </w:p>
        </w:tc>
      </w:tr>
      <w:tr w14:paraId="09D7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35F992E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7197" w:type="dxa"/>
            <w:vAlign w:val="center"/>
          </w:tcPr>
          <w:p w14:paraId="57D21C1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ED4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6DB535A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woUserID w:val="3"/>
              </w:rPr>
            </w:pPr>
            <w:r>
              <w:rPr>
                <w:rFonts w:hint="eastAsia" w:ascii="宋体" w:hAnsi="宋体" w:cs="宋体"/>
                <w:color w:val="auto"/>
                <w:szCs w:val="21"/>
                <w:highlight w:val="none"/>
                <w:lang w:eastAsia="zh"/>
                <w:woUserID w:val="3"/>
              </w:rPr>
              <w:t>保修期</w:t>
            </w:r>
            <w:r>
              <w:rPr>
                <w:rFonts w:hint="eastAsia" w:ascii="宋体" w:hAnsi="宋体" w:cs="宋体"/>
                <w:color w:val="auto"/>
                <w:szCs w:val="21"/>
                <w:highlight w:val="none"/>
                <w:lang w:eastAsia="zh-CN"/>
                <w:woUserID w:val="3"/>
              </w:rPr>
              <w:t>（同质量保证期）</w:t>
            </w:r>
          </w:p>
        </w:tc>
        <w:tc>
          <w:tcPr>
            <w:tcW w:w="7197" w:type="dxa"/>
            <w:vAlign w:val="center"/>
          </w:tcPr>
          <w:p w14:paraId="592B545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BB3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04634D0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woUserID w:val="3"/>
              </w:rPr>
            </w:pPr>
            <w:r>
              <w:rPr>
                <w:rFonts w:hint="eastAsia" w:ascii="宋体" w:hAnsi="宋体" w:cs="宋体"/>
                <w:color w:val="auto"/>
                <w:szCs w:val="21"/>
                <w:highlight w:val="none"/>
                <w:lang w:val="en-US" w:eastAsia="zh-CN"/>
                <w:woUserID w:val="3"/>
              </w:rPr>
              <w:t>(磋商)</w:t>
            </w:r>
            <w:r>
              <w:rPr>
                <w:rFonts w:hint="eastAsia" w:ascii="宋体" w:hAnsi="宋体" w:cs="宋体"/>
                <w:color w:val="auto"/>
                <w:szCs w:val="21"/>
                <w:highlight w:val="none"/>
                <w:lang w:eastAsia="zh-CN"/>
                <w:woUserID w:val="3"/>
              </w:rPr>
              <w:t>保证金</w:t>
            </w:r>
          </w:p>
        </w:tc>
        <w:tc>
          <w:tcPr>
            <w:tcW w:w="7197" w:type="dxa"/>
            <w:vAlign w:val="center"/>
          </w:tcPr>
          <w:p w14:paraId="66622B1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0元</w:t>
            </w:r>
          </w:p>
        </w:tc>
      </w:tr>
      <w:tr w14:paraId="55E8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28D5A61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woUserID w:val="3"/>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有效期</w:t>
            </w:r>
          </w:p>
        </w:tc>
        <w:tc>
          <w:tcPr>
            <w:tcW w:w="7197" w:type="dxa"/>
            <w:vAlign w:val="center"/>
          </w:tcPr>
          <w:p w14:paraId="1045BD2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DE4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4258525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zh"/>
                <w:woUserID w:val="3"/>
              </w:rPr>
            </w:pPr>
            <w:r>
              <w:rPr>
                <w:rFonts w:hint="eastAsia" w:ascii="宋体" w:hAnsi="宋体" w:cs="宋体"/>
                <w:color w:val="auto"/>
                <w:szCs w:val="21"/>
                <w:highlight w:val="none"/>
                <w:lang w:eastAsia="zh-CN"/>
              </w:rPr>
              <w:t>其他声明</w:t>
            </w:r>
          </w:p>
        </w:tc>
        <w:tc>
          <w:tcPr>
            <w:tcW w:w="7197" w:type="dxa"/>
            <w:vAlign w:val="center"/>
          </w:tcPr>
          <w:p w14:paraId="17309E0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05FC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21C8770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缺陷责任期</w:t>
            </w:r>
          </w:p>
        </w:tc>
        <w:tc>
          <w:tcPr>
            <w:tcW w:w="7197" w:type="dxa"/>
            <w:vAlign w:val="center"/>
          </w:tcPr>
          <w:p w14:paraId="098A670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6A82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5C08A26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7197" w:type="dxa"/>
            <w:vAlign w:val="center"/>
          </w:tcPr>
          <w:p w14:paraId="3C70866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E01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3D697BE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设计负责人</w:t>
            </w:r>
          </w:p>
        </w:tc>
        <w:tc>
          <w:tcPr>
            <w:tcW w:w="7197" w:type="dxa"/>
            <w:vAlign w:val="center"/>
          </w:tcPr>
          <w:p w14:paraId="0636119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5504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6022B2B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项目经理</w:t>
            </w:r>
          </w:p>
        </w:tc>
        <w:tc>
          <w:tcPr>
            <w:tcW w:w="7197" w:type="dxa"/>
            <w:vAlign w:val="center"/>
          </w:tcPr>
          <w:p w14:paraId="42AF2CB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姓名：             执业证书：</w:t>
            </w:r>
          </w:p>
        </w:tc>
      </w:tr>
      <w:tr w14:paraId="50D8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6D554C4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付款方式</w:t>
            </w:r>
          </w:p>
        </w:tc>
        <w:tc>
          <w:tcPr>
            <w:tcW w:w="7197" w:type="dxa"/>
            <w:vAlign w:val="center"/>
          </w:tcPr>
          <w:p w14:paraId="770A2BB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Cs w:val="21"/>
                <w:highlight w:val="none"/>
                <w:lang w:eastAsia="zh-CN"/>
              </w:rPr>
              <w:t>满足磋商文件要求</w:t>
            </w:r>
          </w:p>
        </w:tc>
      </w:tr>
      <w:tr w14:paraId="4497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6D6AE01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合同条款</w:t>
            </w:r>
          </w:p>
        </w:tc>
        <w:tc>
          <w:tcPr>
            <w:tcW w:w="7197" w:type="dxa"/>
            <w:vAlign w:val="center"/>
          </w:tcPr>
          <w:p w14:paraId="48B8865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Cs w:val="21"/>
                <w:highlight w:val="none"/>
                <w:lang w:eastAsia="zh-CN"/>
              </w:rPr>
              <w:t>满足磋商文件要求</w:t>
            </w:r>
          </w:p>
        </w:tc>
      </w:tr>
      <w:tr w14:paraId="01CF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2" w:type="dxa"/>
            <w:vAlign w:val="center"/>
          </w:tcPr>
          <w:p w14:paraId="3F746A0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其他实质性条款</w:t>
            </w:r>
          </w:p>
        </w:tc>
        <w:tc>
          <w:tcPr>
            <w:tcW w:w="7197" w:type="dxa"/>
            <w:vAlign w:val="center"/>
          </w:tcPr>
          <w:p w14:paraId="5B36107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Cs w:val="21"/>
                <w:highlight w:val="none"/>
                <w:lang w:eastAsia="zh-CN"/>
              </w:rPr>
              <w:t>满足磋商文件要求</w:t>
            </w:r>
          </w:p>
        </w:tc>
      </w:tr>
      <w:tr w14:paraId="18B7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2422" w:type="dxa"/>
            <w:vAlign w:val="center"/>
          </w:tcPr>
          <w:p w14:paraId="1CED62E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采购范围</w:t>
            </w:r>
          </w:p>
        </w:tc>
        <w:tc>
          <w:tcPr>
            <w:tcW w:w="7197" w:type="dxa"/>
            <w:vAlign w:val="center"/>
          </w:tcPr>
          <w:p w14:paraId="0AB931BB">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CN"/>
              </w:rPr>
            </w:pPr>
            <w:r>
              <w:rPr>
                <w:rFonts w:hint="eastAsia" w:eastAsia="宋体"/>
                <w:color w:val="auto"/>
                <w:highlight w:val="none"/>
                <w:lang w:eastAsia="zh-CN"/>
                <w:woUserID w:val="1"/>
              </w:rPr>
              <w:t>墨子实验室中原量子谷1号楼超净实验室工艺设备（一期）厂务二次配项目</w:t>
            </w:r>
            <w:r>
              <w:rPr>
                <w:rFonts w:hint="eastAsia" w:eastAsia="宋体"/>
                <w:b/>
                <w:bCs/>
                <w:color w:val="auto"/>
                <w:highlight w:val="none"/>
                <w:lang w:eastAsia="zh-CN"/>
                <w:woUserID w:val="1"/>
              </w:rPr>
              <w:t>设计及施工</w:t>
            </w:r>
            <w:r>
              <w:rPr>
                <w:rFonts w:hint="eastAsia" w:eastAsia="宋体"/>
                <w:color w:val="auto"/>
                <w:highlight w:val="none"/>
                <w:lang w:eastAsia="zh-CN"/>
                <w:woUserID w:val="1"/>
              </w:rPr>
              <w:t>，包含但不限于施工图设计、施工指导及现场服务、工程验收及竣工图</w:t>
            </w:r>
            <w:r>
              <w:rPr>
                <w:rFonts w:hint="eastAsia"/>
                <w:color w:val="auto"/>
                <w:highlight w:val="none"/>
                <w:lang w:eastAsia="zh"/>
                <w:woUserID w:val="1"/>
              </w:rPr>
              <w:t>绘制</w:t>
            </w:r>
            <w:r>
              <w:rPr>
                <w:rFonts w:hint="eastAsia" w:eastAsia="宋体"/>
                <w:color w:val="auto"/>
                <w:highlight w:val="none"/>
                <w:lang w:eastAsia="zh-CN"/>
                <w:woUserID w:val="1"/>
              </w:rPr>
              <w:t>、施工图范围内的所有施工(包含但不限于工艺电力系统二次配；工艺排气系统二次配；工艺冷却水系统二次配；工艺超纯水二次配；工艺排水排液二次配；工艺气体二次配；</w:t>
            </w:r>
            <w:r>
              <w:rPr>
                <w:rFonts w:hint="eastAsia" w:eastAsia="宋体"/>
                <w:color w:val="auto"/>
                <w:highlight w:val="none"/>
                <w:lang w:eastAsia="zh"/>
                <w:woUserID w:val="1"/>
              </w:rPr>
              <w:t>安全</w:t>
            </w:r>
            <w:r>
              <w:rPr>
                <w:rFonts w:hint="eastAsia" w:eastAsia="宋体"/>
                <w:color w:val="auto"/>
                <w:highlight w:val="none"/>
                <w:lang w:eastAsia="zh-CN"/>
                <w:woUserID w:val="1"/>
              </w:rPr>
              <w:t>侦测与报警系统</w:t>
            </w:r>
            <w:r>
              <w:rPr>
                <w:rFonts w:hint="eastAsia" w:eastAsia="宋体"/>
                <w:color w:val="auto"/>
                <w:highlight w:val="none"/>
                <w:lang w:eastAsia="zh"/>
                <w:woUserID w:val="1"/>
              </w:rPr>
              <w:t>；尾气处理与真空管路、石墨盘</w:t>
            </w:r>
            <w:r>
              <w:rPr>
                <w:rFonts w:hint="eastAsia" w:eastAsia="宋体"/>
                <w:color w:val="auto"/>
                <w:highlight w:val="none"/>
                <w:lang w:eastAsia="zh-CN"/>
                <w:woUserID w:val="1"/>
              </w:rPr>
              <w:t>清洗装置</w:t>
            </w:r>
            <w:r>
              <w:rPr>
                <w:rFonts w:hint="eastAsia" w:eastAsia="宋体"/>
                <w:color w:val="auto"/>
                <w:highlight w:val="none"/>
                <w:lang w:eastAsia="zh"/>
                <w:woUserID w:val="1"/>
              </w:rPr>
              <w:t>；智能化与展示；办公设施连接、零星改造等工作</w:t>
            </w:r>
            <w:r>
              <w:rPr>
                <w:rFonts w:hint="eastAsia"/>
                <w:color w:val="auto"/>
                <w:highlight w:val="none"/>
                <w:lang w:eastAsia="zh"/>
                <w:woUserID w:val="1"/>
              </w:rPr>
              <w:t>）</w:t>
            </w:r>
            <w:r>
              <w:rPr>
                <w:rFonts w:hint="eastAsia" w:eastAsia="宋体"/>
                <w:color w:val="auto"/>
                <w:highlight w:val="none"/>
                <w:lang w:eastAsia="zh-CN"/>
                <w:woUserID w:val="1"/>
              </w:rPr>
              <w:t>，物资采购供应及设备安装调试、试运、技术服务直至验收交付使用，以及</w:t>
            </w:r>
            <w:r>
              <w:rPr>
                <w:rFonts w:hint="eastAsia"/>
                <w:color w:val="auto"/>
                <w:highlight w:val="none"/>
                <w:lang w:eastAsia="zh"/>
                <w:woUserID w:val="1"/>
              </w:rPr>
              <w:t>保修期</w:t>
            </w:r>
            <w:r>
              <w:rPr>
                <w:rFonts w:hint="eastAsia" w:eastAsia="宋体"/>
                <w:color w:val="auto"/>
                <w:highlight w:val="none"/>
                <w:lang w:eastAsia="zh-CN"/>
                <w:woUserID w:val="1"/>
              </w:rPr>
              <w:t>内的维修服务</w:t>
            </w:r>
            <w:r>
              <w:rPr>
                <w:rFonts w:hint="eastAsia" w:eastAsia="宋体"/>
                <w:color w:val="auto"/>
                <w:highlight w:val="none"/>
                <w:lang w:eastAsia="zh"/>
                <w:woUserID w:val="1"/>
              </w:rPr>
              <w:t>等。</w:t>
            </w:r>
          </w:p>
        </w:tc>
      </w:tr>
    </w:tbl>
    <w:p w14:paraId="34513642">
      <w:pPr>
        <w:spacing w:line="360" w:lineRule="auto"/>
        <w:ind w:firstLine="3578" w:firstLineChars="1704"/>
        <w:rPr>
          <w:rFonts w:hint="eastAsia" w:ascii="宋体" w:hAnsi="宋体" w:cs="宋体"/>
          <w:color w:val="auto"/>
          <w:szCs w:val="21"/>
          <w:highlight w:val="none"/>
          <w:lang w:eastAsia="zh-CN"/>
        </w:rPr>
      </w:pPr>
    </w:p>
    <w:p w14:paraId="7078898E">
      <w:pPr>
        <w:spacing w:line="360" w:lineRule="auto"/>
        <w:ind w:firstLine="3578" w:firstLineChars="1704"/>
        <w:rPr>
          <w:rFonts w:hint="eastAsia" w:ascii="宋体" w:hAnsi="宋体" w:cs="宋体"/>
          <w:color w:val="auto"/>
          <w:szCs w:val="21"/>
          <w:highlight w:val="none"/>
          <w:lang w:eastAsia="zh-CN"/>
        </w:rPr>
      </w:pPr>
    </w:p>
    <w:p w14:paraId="4960EF85">
      <w:pPr>
        <w:spacing w:line="360" w:lineRule="auto"/>
        <w:ind w:firstLine="3578" w:firstLineChars="1704"/>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（盖章）</w:t>
      </w:r>
    </w:p>
    <w:p w14:paraId="52966339">
      <w:pPr>
        <w:spacing w:line="360" w:lineRule="auto"/>
        <w:ind w:firstLine="3578" w:firstLineChars="1704"/>
        <w:rPr>
          <w:rFonts w:ascii="宋体" w:hAnsi="宋体" w:cs="宋体"/>
          <w:color w:val="auto"/>
          <w:szCs w:val="21"/>
          <w:highlight w:val="none"/>
        </w:rPr>
      </w:pPr>
      <w:r>
        <w:rPr>
          <w:rFonts w:hint="eastAsia" w:ascii="宋体" w:hAnsi="宋体" w:cs="宋体"/>
          <w:color w:val="auto"/>
          <w:szCs w:val="21"/>
          <w:highlight w:val="none"/>
        </w:rPr>
        <w:t>法定代表人或其授权委托人：</w:t>
      </w:r>
      <w:r>
        <w:rPr>
          <w:rFonts w:hint="eastAsia" w:ascii="宋体" w:hAnsi="宋体" w:cs="宋体"/>
          <w:color w:val="auto"/>
          <w:szCs w:val="21"/>
          <w:highlight w:val="none"/>
          <w:u w:val="single"/>
        </w:rPr>
        <w:t xml:space="preserve">     （签字或盖章）</w:t>
      </w:r>
    </w:p>
    <w:p w14:paraId="45AB5612">
      <w:pPr>
        <w:spacing w:line="360" w:lineRule="auto"/>
        <w:ind w:firstLine="3578" w:firstLineChars="1704"/>
        <w:rPr>
          <w:rFonts w:ascii="宋体" w:hAnsi="宋体" w:cs="宋体"/>
          <w:color w:val="auto"/>
          <w:sz w:val="24"/>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年   月   日</w:t>
      </w:r>
    </w:p>
    <w:p w14:paraId="4AD7ED8E">
      <w:pPr>
        <w:pStyle w:val="3"/>
        <w:rPr>
          <w:color w:val="auto"/>
          <w:highlight w:val="none"/>
        </w:rPr>
      </w:pPr>
      <w:bookmarkStart w:id="1139" w:name="_Toc3161"/>
      <w:bookmarkStart w:id="1140" w:name="_Toc25724"/>
      <w:bookmarkStart w:id="1141" w:name="_Toc30936"/>
      <w:r>
        <w:rPr>
          <w:rFonts w:hint="eastAsia"/>
          <w:color w:val="auto"/>
          <w:highlight w:val="none"/>
        </w:rPr>
        <w:t>二、</w:t>
      </w:r>
      <w:bookmarkEnd w:id="1118"/>
      <w:bookmarkEnd w:id="1119"/>
      <w:bookmarkEnd w:id="1120"/>
      <w:bookmarkEnd w:id="1121"/>
      <w:r>
        <w:rPr>
          <w:rFonts w:hint="eastAsia"/>
          <w:color w:val="auto"/>
          <w:highlight w:val="none"/>
        </w:rPr>
        <w:t>法定代表身份证明</w:t>
      </w:r>
      <w:bookmarkEnd w:id="1128"/>
      <w:bookmarkEnd w:id="1129"/>
      <w:bookmarkEnd w:id="1130"/>
      <w:bookmarkEnd w:id="1131"/>
      <w:bookmarkEnd w:id="1132"/>
      <w:bookmarkEnd w:id="1139"/>
      <w:bookmarkEnd w:id="1140"/>
      <w:bookmarkEnd w:id="1141"/>
    </w:p>
    <w:p w14:paraId="62E3A74E">
      <w:pPr>
        <w:spacing w:line="440" w:lineRule="exact"/>
        <w:jc w:val="center"/>
        <w:rPr>
          <w:rFonts w:ascii="宋体" w:hAnsi="宋体" w:cs="宋体"/>
          <w:color w:val="auto"/>
          <w:szCs w:val="21"/>
          <w:highlight w:val="none"/>
        </w:rPr>
      </w:pPr>
    </w:p>
    <w:p w14:paraId="255D3943">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r>
        <w:rPr>
          <w:rFonts w:hint="eastAsia" w:ascii="宋体" w:hAnsi="宋体" w:cs="宋体"/>
          <w:color w:val="auto"/>
          <w:szCs w:val="21"/>
          <w:highlight w:val="none"/>
          <w:u w:val="single"/>
        </w:rPr>
        <w:t xml:space="preserve">                            </w:t>
      </w:r>
    </w:p>
    <w:p w14:paraId="79FE0325">
      <w:pPr>
        <w:spacing w:line="440" w:lineRule="exact"/>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BEC201D">
      <w:pPr>
        <w:spacing w:line="440" w:lineRule="exac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3A3D26B9">
      <w:pPr>
        <w:spacing w:line="440" w:lineRule="exact"/>
        <w:rPr>
          <w:rFonts w:ascii="宋体" w:hAnsi="宋体" w:cs="宋体"/>
          <w:color w:val="auto"/>
          <w:szCs w:val="21"/>
          <w:highlight w:val="none"/>
          <w:u w:val="singl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DF4ED96">
      <w:pPr>
        <w:spacing w:line="440" w:lineRule="exact"/>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06D69DB">
      <w:pPr>
        <w:spacing w:line="440" w:lineRule="exact"/>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4A568C22">
      <w:pPr>
        <w:spacing w:line="440" w:lineRule="exact"/>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名称）的法定代表人。</w:t>
      </w:r>
    </w:p>
    <w:p w14:paraId="63AF38D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050EB564">
      <w:pPr>
        <w:spacing w:line="440" w:lineRule="exact"/>
        <w:rPr>
          <w:rFonts w:ascii="宋体" w:hAnsi="宋体" w:cs="宋体"/>
          <w:color w:val="auto"/>
          <w:szCs w:val="21"/>
          <w:highlight w:val="none"/>
        </w:rPr>
      </w:pPr>
    </w:p>
    <w:p w14:paraId="30F60662">
      <w:pPr>
        <w:spacing w:line="440" w:lineRule="exact"/>
        <w:rPr>
          <w:rFonts w:ascii="宋体" w:hAnsi="宋体" w:cs="宋体"/>
          <w:color w:val="auto"/>
          <w:szCs w:val="21"/>
          <w:highlight w:val="none"/>
        </w:rPr>
      </w:pPr>
    </w:p>
    <w:p w14:paraId="4F45F149">
      <w:pPr>
        <w:spacing w:line="360" w:lineRule="auto"/>
        <w:ind w:firstLine="3578" w:firstLineChars="1704"/>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（盖章）</w:t>
      </w:r>
    </w:p>
    <w:p w14:paraId="021D2E67">
      <w:pPr>
        <w:spacing w:line="440" w:lineRule="exact"/>
        <w:jc w:val="right"/>
        <w:rPr>
          <w:rFonts w:ascii="宋体" w:hAnsi="宋体" w:cs="宋体"/>
          <w:color w:val="auto"/>
          <w:szCs w:val="21"/>
          <w:highlight w:val="none"/>
        </w:rPr>
      </w:pPr>
      <w:r>
        <w:rPr>
          <w:rFonts w:hint="eastAsia" w:ascii="宋体" w:hAnsi="宋体" w:cs="宋体"/>
          <w:color w:val="auto"/>
          <w:szCs w:val="21"/>
          <w:highlight w:val="none"/>
          <w:u w:val="single"/>
        </w:rPr>
        <w:t xml:space="preserve">        年   月   日</w:t>
      </w:r>
    </w:p>
    <w:p w14:paraId="11D6964D">
      <w:pPr>
        <w:spacing w:line="440" w:lineRule="exact"/>
        <w:rPr>
          <w:rFonts w:ascii="宋体" w:hAnsi="宋体" w:cs="宋体"/>
          <w:color w:val="auto"/>
          <w:szCs w:val="21"/>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CE1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vAlign w:val="center"/>
          </w:tcPr>
          <w:p w14:paraId="2263D5A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法定代表人身份证扫描件</w:t>
            </w:r>
          </w:p>
          <w:p w14:paraId="6E2DB2E8">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r>
    </w:tbl>
    <w:p w14:paraId="3DDC615B">
      <w:pPr>
        <w:pStyle w:val="3"/>
        <w:rPr>
          <w:rFonts w:ascii="宋体" w:hAnsi="宋体" w:cs="宋体"/>
          <w:color w:val="auto"/>
          <w:highlight w:val="none"/>
        </w:rPr>
      </w:pPr>
      <w:bookmarkStart w:id="1142" w:name="_Toc466298162"/>
      <w:bookmarkStart w:id="1143" w:name="_Toc202941490"/>
      <w:bookmarkStart w:id="1144" w:name="_Toc441791190"/>
      <w:bookmarkStart w:id="1145" w:name="_Toc318989765"/>
      <w:r>
        <w:rPr>
          <w:rFonts w:hint="eastAsia" w:ascii="宋体" w:hAnsi="宋体" w:cs="宋体"/>
          <w:color w:val="auto"/>
          <w:highlight w:val="none"/>
        </w:rPr>
        <w:br w:type="page"/>
      </w:r>
      <w:bookmarkStart w:id="1146" w:name="_Toc11021"/>
      <w:bookmarkStart w:id="1147" w:name="_Toc24722"/>
      <w:bookmarkStart w:id="1148" w:name="_Toc11573"/>
      <w:bookmarkStart w:id="1149" w:name="_Toc7857"/>
      <w:bookmarkStart w:id="1150" w:name="_Toc5671"/>
      <w:bookmarkStart w:id="1151" w:name="_Toc23370"/>
      <w:bookmarkStart w:id="1152" w:name="_Toc25183"/>
      <w:r>
        <w:rPr>
          <w:rFonts w:hint="eastAsia" w:ascii="宋体" w:hAnsi="宋体" w:cs="宋体"/>
          <w:color w:val="auto"/>
          <w:highlight w:val="none"/>
        </w:rPr>
        <w:t>三、授权委托书</w:t>
      </w:r>
      <w:bookmarkEnd w:id="1142"/>
      <w:bookmarkEnd w:id="1143"/>
      <w:bookmarkEnd w:id="1144"/>
      <w:bookmarkEnd w:id="1145"/>
      <w:bookmarkEnd w:id="1146"/>
      <w:bookmarkEnd w:id="1147"/>
      <w:bookmarkEnd w:id="1148"/>
      <w:bookmarkEnd w:id="1149"/>
      <w:bookmarkEnd w:id="1150"/>
      <w:bookmarkEnd w:id="1151"/>
      <w:bookmarkEnd w:id="1152"/>
    </w:p>
    <w:p w14:paraId="21B732F4">
      <w:pPr>
        <w:topLinePunct/>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名称）的法定代表人，现委托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 xml:space="preserve">为我方代理人。代理人根据授权，以我方名义签署、澄清、说明、补正、递交、撤回、修改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（项目名称）响应文件、签订合同和处理有关事宜，其法律后果由我方承担。</w:t>
      </w:r>
    </w:p>
    <w:p w14:paraId="2BD3FD0D">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665F5C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21AB8DBF">
      <w:pPr>
        <w:spacing w:line="440" w:lineRule="exact"/>
        <w:rPr>
          <w:rFonts w:ascii="宋体" w:hAnsi="宋体" w:cs="宋体"/>
          <w:color w:val="auto"/>
          <w:szCs w:val="21"/>
          <w:highlight w:val="none"/>
        </w:rPr>
      </w:pPr>
    </w:p>
    <w:p w14:paraId="5543D16D">
      <w:pPr>
        <w:spacing w:line="440" w:lineRule="exact"/>
        <w:rPr>
          <w:rFonts w:ascii="宋体" w:hAnsi="宋体" w:cs="宋体"/>
          <w:color w:val="auto"/>
          <w:szCs w:val="21"/>
          <w:highlight w:val="none"/>
        </w:rPr>
      </w:pPr>
    </w:p>
    <w:p w14:paraId="57C10BAD">
      <w:pPr>
        <w:spacing w:line="440" w:lineRule="exact"/>
        <w:rPr>
          <w:rFonts w:ascii="宋体" w:hAnsi="宋体" w:cs="宋体"/>
          <w:color w:val="auto"/>
          <w:szCs w:val="21"/>
          <w:highlight w:val="none"/>
        </w:rPr>
      </w:pPr>
    </w:p>
    <w:p w14:paraId="07CAC4A8">
      <w:pPr>
        <w:spacing w:line="440" w:lineRule="exact"/>
        <w:ind w:left="2310" w:leftChars="110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（盖章）</w:t>
      </w:r>
    </w:p>
    <w:p w14:paraId="7F01930B">
      <w:pPr>
        <w:spacing w:line="440" w:lineRule="exact"/>
        <w:ind w:left="2310" w:leftChars="11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（签字或盖章）</w:t>
      </w:r>
    </w:p>
    <w:p w14:paraId="5E80A125">
      <w:pPr>
        <w:spacing w:line="440" w:lineRule="exact"/>
        <w:ind w:left="2310" w:leftChars="1100"/>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1611ABB">
      <w:pPr>
        <w:spacing w:line="440" w:lineRule="exact"/>
        <w:ind w:left="2310" w:leftChars="1100"/>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（签字或盖章）</w:t>
      </w:r>
    </w:p>
    <w:p w14:paraId="70813023">
      <w:pPr>
        <w:spacing w:line="440" w:lineRule="exact"/>
        <w:ind w:left="2310" w:leftChars="1100"/>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1D2364C">
      <w:pPr>
        <w:spacing w:line="360" w:lineRule="auto"/>
        <w:ind w:firstLine="3780" w:firstLineChars="1800"/>
        <w:rPr>
          <w:rFonts w:ascii="宋体" w:hAnsi="宋体" w:cs="宋体"/>
          <w:color w:val="auto"/>
          <w:sz w:val="24"/>
          <w:highlight w:val="none"/>
        </w:rPr>
      </w:pPr>
      <w:r>
        <w:rPr>
          <w:rFonts w:hint="eastAsia" w:ascii="宋体" w:hAnsi="宋体" w:cs="宋体"/>
          <w:color w:val="auto"/>
          <w:szCs w:val="21"/>
          <w:highlight w:val="none"/>
          <w:u w:val="single"/>
        </w:rPr>
        <w:t xml:space="preserve">        年   月   日</w:t>
      </w:r>
    </w:p>
    <w:p w14:paraId="18D3A5A3">
      <w:pPr>
        <w:spacing w:line="440" w:lineRule="exact"/>
        <w:rPr>
          <w:rFonts w:ascii="宋体" w:hAnsi="宋体" w:cs="宋体"/>
          <w:color w:val="auto"/>
          <w:szCs w:val="21"/>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F88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8528" w:type="dxa"/>
            <w:vAlign w:val="center"/>
          </w:tcPr>
          <w:p w14:paraId="762C1D6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法定代表人及委托代理人身份证扫描件</w:t>
            </w:r>
          </w:p>
          <w:p w14:paraId="5DF3859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r>
    </w:tbl>
    <w:p w14:paraId="45C9A439">
      <w:pPr>
        <w:pStyle w:val="3"/>
        <w:rPr>
          <w:rFonts w:ascii="宋体" w:hAnsi="宋体" w:cs="宋体"/>
          <w:color w:val="auto"/>
          <w:sz w:val="32"/>
          <w:szCs w:val="40"/>
          <w:highlight w:val="none"/>
        </w:rPr>
      </w:pPr>
      <w:bookmarkStart w:id="1153" w:name="_Toc441791191"/>
      <w:bookmarkStart w:id="1154" w:name="_Toc466298163"/>
      <w:bookmarkStart w:id="1155" w:name="_Toc144974862"/>
      <w:r>
        <w:rPr>
          <w:rFonts w:hint="eastAsia" w:ascii="宋体" w:hAnsi="宋体" w:cs="宋体"/>
          <w:color w:val="auto"/>
          <w:highlight w:val="none"/>
        </w:rPr>
        <w:br w:type="page"/>
      </w:r>
      <w:bookmarkStart w:id="1156" w:name="_Toc25719"/>
      <w:bookmarkStart w:id="1157" w:name="_Toc13609"/>
      <w:bookmarkStart w:id="1158" w:name="_Toc10005"/>
      <w:bookmarkStart w:id="1159" w:name="_Toc28301"/>
      <w:bookmarkStart w:id="1160" w:name="_Toc14832"/>
      <w:bookmarkStart w:id="1161" w:name="_Toc18162"/>
      <w:bookmarkStart w:id="1162" w:name="_Toc7869"/>
      <w:r>
        <w:rPr>
          <w:rStyle w:val="51"/>
          <w:rFonts w:hint="eastAsia"/>
          <w:b/>
          <w:bCs/>
          <w:color w:val="auto"/>
          <w:highlight w:val="none"/>
        </w:rPr>
        <w:t>四、</w:t>
      </w:r>
      <w:bookmarkEnd w:id="1153"/>
      <w:bookmarkEnd w:id="1154"/>
      <w:r>
        <w:rPr>
          <w:rStyle w:val="51"/>
          <w:rFonts w:hint="eastAsia"/>
          <w:b/>
          <w:bCs/>
          <w:color w:val="auto"/>
          <w:highlight w:val="none"/>
          <w:lang w:eastAsia="zh-CN"/>
        </w:rPr>
        <w:t>磋商</w:t>
      </w:r>
      <w:r>
        <w:rPr>
          <w:rStyle w:val="51"/>
          <w:rFonts w:hint="eastAsia"/>
          <w:b/>
          <w:bCs/>
          <w:color w:val="auto"/>
          <w:highlight w:val="none"/>
        </w:rPr>
        <w:t>承诺函</w:t>
      </w:r>
      <w:bookmarkEnd w:id="1156"/>
      <w:bookmarkEnd w:id="1157"/>
      <w:bookmarkEnd w:id="1158"/>
      <w:bookmarkEnd w:id="1159"/>
      <w:bookmarkEnd w:id="1160"/>
      <w:bookmarkEnd w:id="1161"/>
      <w:bookmarkEnd w:id="1162"/>
    </w:p>
    <w:p w14:paraId="2C48A82A">
      <w:pPr>
        <w:topLinePunct/>
        <w:snapToGrid w:val="0"/>
        <w:spacing w:line="360" w:lineRule="auto"/>
        <w:rPr>
          <w:rFonts w:ascii="宋体" w:hAnsi="宋体" w:cs="宋体"/>
          <w:color w:val="auto"/>
          <w:spacing w:val="8"/>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（采购人及采购代理机构）</w:t>
      </w:r>
      <w:r>
        <w:rPr>
          <w:rFonts w:hint="eastAsia" w:ascii="宋体" w:hAnsi="宋体" w:cs="宋体"/>
          <w:color w:val="auto"/>
          <w:spacing w:val="8"/>
          <w:szCs w:val="21"/>
          <w:highlight w:val="none"/>
          <w:u w:val="single"/>
        </w:rPr>
        <w:t>：</w:t>
      </w:r>
    </w:p>
    <w:p w14:paraId="027319A7">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根据河南省财政厅关于优化政府采购营商环境有关问题的通知（豫财购[2019]4 号），自2019年8月1日起，在全省政府采购货物和服务招标投标活动中，不再向</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收取投标保证金，非招标采购方式采购货物、工程和服务的，也不再向</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收取投标保证金，</w:t>
      </w:r>
      <w:r>
        <w:rPr>
          <w:rFonts w:hint="eastAsia" w:ascii="宋体" w:hAnsi="宋体" w:cs="宋体"/>
          <w:color w:val="auto"/>
          <w:kern w:val="0"/>
          <w:szCs w:val="21"/>
          <w:highlight w:val="none"/>
          <w:lang w:eastAsia="zh-CN" w:bidi="ar"/>
        </w:rPr>
        <w:t>供应商</w:t>
      </w:r>
      <w:r>
        <w:rPr>
          <w:rFonts w:hint="eastAsia" w:ascii="宋体" w:hAnsi="宋体" w:cs="宋体"/>
          <w:color w:val="auto"/>
          <w:kern w:val="0"/>
          <w:szCs w:val="21"/>
          <w:highlight w:val="none"/>
          <w:lang w:bidi="ar"/>
        </w:rPr>
        <w:t>以</w:t>
      </w:r>
      <w:r>
        <w:rPr>
          <w:rFonts w:hint="eastAsia" w:ascii="宋体" w:hAnsi="宋体" w:cs="宋体"/>
          <w:color w:val="auto"/>
          <w:kern w:val="0"/>
          <w:szCs w:val="21"/>
          <w:highlight w:val="none"/>
          <w:lang w:eastAsia="zh-CN" w:bidi="ar"/>
        </w:rPr>
        <w:t>磋商</w:t>
      </w:r>
      <w:r>
        <w:rPr>
          <w:rFonts w:hint="eastAsia" w:ascii="宋体" w:hAnsi="宋体" w:cs="宋体"/>
          <w:color w:val="auto"/>
          <w:kern w:val="0"/>
          <w:szCs w:val="21"/>
          <w:highlight w:val="none"/>
          <w:lang w:bidi="ar"/>
        </w:rPr>
        <w:t>承诺函的形式替代投标保证金。因此，在本次</w:t>
      </w:r>
      <w:r>
        <w:rPr>
          <w:rFonts w:hint="eastAsia" w:ascii="宋体" w:hAnsi="宋体" w:cs="宋体"/>
          <w:color w:val="auto"/>
          <w:kern w:val="0"/>
          <w:szCs w:val="21"/>
          <w:highlight w:val="none"/>
          <w:u w:val="single"/>
          <w:lang w:bidi="ar"/>
        </w:rPr>
        <w:t>（项目编号、采购人名称、项目名称）</w:t>
      </w:r>
      <w:r>
        <w:rPr>
          <w:rFonts w:hint="eastAsia" w:ascii="宋体" w:hAnsi="宋体" w:cs="宋体"/>
          <w:color w:val="auto"/>
          <w:kern w:val="0"/>
          <w:szCs w:val="21"/>
          <w:highlight w:val="none"/>
          <w:u w:val="single"/>
          <w:lang w:eastAsia="zh-CN" w:bidi="ar"/>
        </w:rPr>
        <w:t>磋商</w:t>
      </w:r>
      <w:r>
        <w:rPr>
          <w:rFonts w:hint="eastAsia" w:ascii="宋体" w:hAnsi="宋体" w:cs="宋体"/>
          <w:color w:val="auto"/>
          <w:kern w:val="0"/>
          <w:szCs w:val="21"/>
          <w:highlight w:val="none"/>
          <w:lang w:bidi="ar"/>
        </w:rPr>
        <w:t>过程中，我公司郑重承诺：</w:t>
      </w:r>
    </w:p>
    <w:p w14:paraId="0741126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1、我公司提供的所有文件材料，均是真实的，不提供虚假材料，不用不正当的手段骗取中标。</w:t>
      </w:r>
    </w:p>
    <w:p w14:paraId="6CAB985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2、在规定的</w:t>
      </w:r>
      <w:r>
        <w:rPr>
          <w:rFonts w:hint="eastAsia" w:ascii="宋体" w:hAnsi="宋体" w:cs="宋体"/>
          <w:color w:val="auto"/>
          <w:kern w:val="0"/>
          <w:szCs w:val="21"/>
          <w:highlight w:val="none"/>
          <w:lang w:eastAsia="zh-CN" w:bidi="ar"/>
        </w:rPr>
        <w:t>响应文件开启</w:t>
      </w:r>
      <w:r>
        <w:rPr>
          <w:rFonts w:hint="eastAsia" w:ascii="宋体" w:hAnsi="宋体" w:cs="宋体"/>
          <w:color w:val="auto"/>
          <w:kern w:val="0"/>
          <w:szCs w:val="21"/>
          <w:highlight w:val="none"/>
          <w:lang w:bidi="ar"/>
        </w:rPr>
        <w:t>时间后，在</w:t>
      </w:r>
      <w:r>
        <w:rPr>
          <w:rFonts w:hint="eastAsia" w:ascii="宋体" w:hAnsi="宋体" w:cs="宋体"/>
          <w:color w:val="auto"/>
          <w:kern w:val="0"/>
          <w:szCs w:val="21"/>
          <w:highlight w:val="none"/>
          <w:lang w:eastAsia="zh-CN" w:bidi="ar"/>
        </w:rPr>
        <w:t>磋商</w:t>
      </w:r>
      <w:r>
        <w:rPr>
          <w:rFonts w:hint="eastAsia" w:ascii="宋体" w:hAnsi="宋体" w:cs="宋体"/>
          <w:color w:val="auto"/>
          <w:kern w:val="0"/>
          <w:szCs w:val="21"/>
          <w:highlight w:val="none"/>
          <w:lang w:bidi="ar"/>
        </w:rPr>
        <w:t>有效期内我公司保证不撤回</w:t>
      </w:r>
      <w:r>
        <w:rPr>
          <w:rFonts w:hint="eastAsia" w:ascii="宋体" w:hAnsi="宋体" w:cs="宋体"/>
          <w:color w:val="auto"/>
          <w:kern w:val="0"/>
          <w:szCs w:val="21"/>
          <w:highlight w:val="none"/>
          <w:lang w:eastAsia="zh-CN" w:bidi="ar"/>
        </w:rPr>
        <w:t>响应文件</w:t>
      </w:r>
      <w:r>
        <w:rPr>
          <w:rFonts w:hint="eastAsia" w:ascii="宋体" w:hAnsi="宋体" w:cs="宋体"/>
          <w:color w:val="auto"/>
          <w:kern w:val="0"/>
          <w:szCs w:val="21"/>
          <w:highlight w:val="none"/>
          <w:lang w:bidi="ar"/>
        </w:rPr>
        <w:t>。</w:t>
      </w:r>
    </w:p>
    <w:p w14:paraId="71E34CE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3、如果我公司中标，我公司承诺在</w:t>
      </w:r>
      <w:r>
        <w:rPr>
          <w:rFonts w:hint="eastAsia" w:ascii="宋体" w:hAnsi="宋体" w:cs="宋体"/>
          <w:color w:val="auto"/>
          <w:kern w:val="0"/>
          <w:szCs w:val="21"/>
          <w:highlight w:val="none"/>
          <w:lang w:eastAsia="zh-CN" w:bidi="ar"/>
        </w:rPr>
        <w:t>成交</w:t>
      </w:r>
      <w:r>
        <w:rPr>
          <w:rFonts w:hint="eastAsia" w:ascii="宋体" w:hAnsi="宋体" w:cs="宋体"/>
          <w:color w:val="auto"/>
          <w:kern w:val="0"/>
          <w:szCs w:val="21"/>
          <w:highlight w:val="none"/>
          <w:lang w:bidi="ar"/>
        </w:rPr>
        <w:t xml:space="preserve">通知书发出之日起7天内向采购代理机构交纳足额的中标服务费。 </w:t>
      </w:r>
    </w:p>
    <w:p w14:paraId="299C492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4、如果我公司中标，我公司将严格按照</w:t>
      </w:r>
      <w:r>
        <w:rPr>
          <w:rFonts w:hint="eastAsia" w:ascii="宋体" w:hAnsi="宋体" w:cs="宋体"/>
          <w:color w:val="auto"/>
          <w:kern w:val="0"/>
          <w:szCs w:val="21"/>
          <w:highlight w:val="none"/>
          <w:lang w:eastAsia="zh-CN" w:bidi="ar"/>
        </w:rPr>
        <w:t>采购文件</w:t>
      </w:r>
      <w:r>
        <w:rPr>
          <w:rFonts w:hint="eastAsia" w:ascii="宋体" w:hAnsi="宋体" w:cs="宋体"/>
          <w:color w:val="auto"/>
          <w:kern w:val="0"/>
          <w:szCs w:val="21"/>
          <w:highlight w:val="none"/>
          <w:lang w:bidi="ar"/>
        </w:rPr>
        <w:t>和</w:t>
      </w:r>
      <w:r>
        <w:rPr>
          <w:rFonts w:hint="eastAsia" w:ascii="宋体" w:hAnsi="宋体" w:cs="宋体"/>
          <w:color w:val="auto"/>
          <w:kern w:val="0"/>
          <w:szCs w:val="21"/>
          <w:highlight w:val="none"/>
          <w:lang w:eastAsia="zh-CN" w:bidi="ar"/>
        </w:rPr>
        <w:t>响应文件</w:t>
      </w:r>
      <w:r>
        <w:rPr>
          <w:rFonts w:hint="eastAsia" w:ascii="宋体" w:hAnsi="宋体" w:cs="宋体"/>
          <w:color w:val="auto"/>
          <w:kern w:val="0"/>
          <w:szCs w:val="21"/>
          <w:highlight w:val="none"/>
          <w:lang w:bidi="ar"/>
        </w:rPr>
        <w:t>的要求，在规定时间内签订合同并履行合同，在签订合同时不向采购人提出附加条件。</w:t>
      </w:r>
    </w:p>
    <w:p w14:paraId="4830B187">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如果违反上述承诺，除行政机关依法追究责任外，在3年内我公司自愿放弃参加采购人及采购代理机构组织的政府采购活动</w:t>
      </w:r>
    </w:p>
    <w:p w14:paraId="623603FA">
      <w:pPr>
        <w:topLinePunct/>
        <w:snapToGrid w:val="0"/>
        <w:spacing w:line="360" w:lineRule="auto"/>
        <w:ind w:firstLine="452" w:firstLineChars="200"/>
        <w:rPr>
          <w:rFonts w:ascii="宋体" w:hAnsi="宋体" w:cs="宋体"/>
          <w:color w:val="auto"/>
          <w:spacing w:val="8"/>
          <w:szCs w:val="21"/>
          <w:highlight w:val="none"/>
        </w:rPr>
      </w:pPr>
    </w:p>
    <w:p w14:paraId="06163D69">
      <w:pPr>
        <w:topLinePunct/>
        <w:snapToGrid w:val="0"/>
        <w:spacing w:line="360" w:lineRule="auto"/>
        <w:ind w:firstLine="452" w:firstLineChars="200"/>
        <w:rPr>
          <w:rFonts w:ascii="宋体" w:hAnsi="宋体" w:cs="宋体"/>
          <w:color w:val="auto"/>
          <w:spacing w:val="8"/>
          <w:szCs w:val="21"/>
          <w:highlight w:val="none"/>
        </w:rPr>
      </w:pPr>
    </w:p>
    <w:bookmarkEnd w:id="1155"/>
    <w:p w14:paraId="7258DD8B">
      <w:pPr>
        <w:spacing w:line="360" w:lineRule="auto"/>
        <w:ind w:firstLine="3780" w:firstLineChars="1800"/>
        <w:rPr>
          <w:rFonts w:ascii="宋体" w:hAnsi="宋体" w:cs="宋体"/>
          <w:color w:val="auto"/>
          <w:szCs w:val="21"/>
          <w:highlight w:val="none"/>
        </w:rPr>
      </w:pPr>
      <w:bookmarkStart w:id="1163" w:name="_Toc475624455"/>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（盖章）</w:t>
      </w:r>
    </w:p>
    <w:p w14:paraId="677418B4">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法定代表人或其授权委托人：</w:t>
      </w:r>
      <w:r>
        <w:rPr>
          <w:rFonts w:hint="eastAsia" w:ascii="宋体" w:hAnsi="宋体" w:cs="宋体"/>
          <w:color w:val="auto"/>
          <w:szCs w:val="21"/>
          <w:highlight w:val="none"/>
          <w:u w:val="single"/>
        </w:rPr>
        <w:t xml:space="preserve">     （签字或盖章）</w:t>
      </w:r>
    </w:p>
    <w:p w14:paraId="47AD42E6">
      <w:pPr>
        <w:spacing w:line="360" w:lineRule="auto"/>
        <w:ind w:firstLine="3780" w:firstLineChars="1800"/>
        <w:rPr>
          <w:rFonts w:ascii="宋体" w:hAnsi="宋体" w:cs="宋体"/>
          <w:color w:val="auto"/>
          <w:sz w:val="24"/>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年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月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日</w:t>
      </w:r>
    </w:p>
    <w:p w14:paraId="68FE9E58">
      <w:pPr>
        <w:outlineLvl w:val="9"/>
        <w:rPr>
          <w:rFonts w:ascii="宋体" w:hAnsi="宋体" w:cs="宋体"/>
          <w:color w:val="auto"/>
          <w:highlight w:val="none"/>
        </w:rPr>
      </w:pPr>
      <w:r>
        <w:rPr>
          <w:rFonts w:hint="eastAsia" w:ascii="宋体" w:hAnsi="宋体" w:cs="宋体"/>
          <w:color w:val="auto"/>
          <w:highlight w:val="none"/>
        </w:rPr>
        <w:br w:type="page"/>
      </w:r>
      <w:bookmarkEnd w:id="1163"/>
      <w:bookmarkStart w:id="1164" w:name="_Toc29039"/>
      <w:bookmarkStart w:id="1165" w:name="_Toc104"/>
      <w:bookmarkStart w:id="1166" w:name="_Toc3115"/>
      <w:bookmarkStart w:id="1167" w:name="_Toc475624458"/>
      <w:bookmarkStart w:id="1168" w:name="_Toc12708"/>
      <w:bookmarkStart w:id="1169" w:name="_Toc16352"/>
      <w:bookmarkStart w:id="1170" w:name="_Toc23975"/>
    </w:p>
    <w:p w14:paraId="37369E85">
      <w:pPr>
        <w:pStyle w:val="3"/>
        <w:rPr>
          <w:rStyle w:val="51"/>
          <w:rFonts w:hint="eastAsia"/>
          <w:b/>
          <w:bCs/>
          <w:color w:val="auto"/>
          <w:highlight w:val="none"/>
          <w:lang w:eastAsia="zh-CN"/>
        </w:rPr>
      </w:pPr>
      <w:bookmarkStart w:id="1171" w:name="_Toc10316"/>
      <w:bookmarkStart w:id="1172" w:name="_Toc9810"/>
      <w:bookmarkStart w:id="1173" w:name="_Toc26139"/>
      <w:bookmarkStart w:id="1174" w:name="_Toc168"/>
      <w:r>
        <w:rPr>
          <w:rStyle w:val="51"/>
          <w:rFonts w:hint="eastAsia"/>
          <w:b/>
          <w:bCs/>
          <w:color w:val="auto"/>
          <w:highlight w:val="none"/>
          <w:lang w:eastAsia="zh"/>
        </w:rPr>
        <w:t>五 、</w:t>
      </w:r>
      <w:r>
        <w:rPr>
          <w:rStyle w:val="51"/>
          <w:rFonts w:hint="eastAsia"/>
          <w:b/>
          <w:bCs/>
          <w:color w:val="auto"/>
          <w:highlight w:val="none"/>
          <w:lang w:eastAsia="zh"/>
          <w:woUserID w:val="1"/>
        </w:rPr>
        <w:t>分项及主材</w:t>
      </w:r>
      <w:r>
        <w:rPr>
          <w:rStyle w:val="51"/>
          <w:rFonts w:hint="eastAsia"/>
          <w:b/>
          <w:bCs/>
          <w:color w:val="auto"/>
          <w:highlight w:val="none"/>
          <w:lang w:eastAsia="zh"/>
        </w:rPr>
        <w:t>报价</w:t>
      </w:r>
      <w:bookmarkEnd w:id="1171"/>
      <w:bookmarkEnd w:id="1172"/>
      <w:bookmarkEnd w:id="1173"/>
      <w:bookmarkEnd w:id="1174"/>
      <w:r>
        <w:rPr>
          <w:rStyle w:val="51"/>
          <w:rFonts w:hint="eastAsia"/>
          <w:b/>
          <w:bCs/>
          <w:color w:val="auto"/>
          <w:highlight w:val="none"/>
          <w:lang w:eastAsia="zh-CN"/>
        </w:rPr>
        <w:t>表</w:t>
      </w:r>
    </w:p>
    <w:p w14:paraId="36593975">
      <w:pPr>
        <w:jc w:val="center"/>
        <w:rPr>
          <w:rFonts w:hint="eastAsia" w:eastAsia="宋体"/>
          <w:b/>
          <w:bCs/>
          <w:color w:val="auto"/>
          <w:highlight w:val="none"/>
          <w:lang w:eastAsia="zh"/>
          <w:woUserID w:val="3"/>
        </w:rPr>
      </w:pPr>
      <w:r>
        <w:rPr>
          <w:rFonts w:hint="eastAsia"/>
          <w:b/>
          <w:bCs/>
          <w:color w:val="auto"/>
          <w:highlight w:val="none"/>
          <w:lang w:eastAsia="zh"/>
          <w:woUserID w:val="3"/>
        </w:rPr>
        <w:t>（一）</w:t>
      </w:r>
      <w:r>
        <w:rPr>
          <w:rFonts w:hint="eastAsia"/>
          <w:b/>
          <w:bCs/>
          <w:color w:val="auto"/>
          <w:highlight w:val="none"/>
          <w:lang w:eastAsia="zh"/>
          <w:woUserID w:val="1"/>
        </w:rPr>
        <w:t>分项报价</w:t>
      </w:r>
      <w:r>
        <w:rPr>
          <w:rFonts w:hint="eastAsia"/>
          <w:b/>
          <w:bCs/>
          <w:color w:val="auto"/>
          <w:highlight w:val="none"/>
          <w:lang w:eastAsia="zh"/>
          <w:woUserID w:val="3"/>
        </w:rPr>
        <w:t>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711"/>
        <w:gridCol w:w="2576"/>
        <w:gridCol w:w="1706"/>
        <w:gridCol w:w="1106"/>
      </w:tblGrid>
      <w:tr w14:paraId="75BD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1" w:hRule="atLeast"/>
        </w:trPr>
        <w:tc>
          <w:tcPr>
            <w:tcW w:w="1031" w:type="dxa"/>
            <w:noWrap w:val="0"/>
            <w:vAlign w:val="center"/>
          </w:tcPr>
          <w:p w14:paraId="6C8B0C7C">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序号</w:t>
            </w:r>
          </w:p>
        </w:tc>
        <w:tc>
          <w:tcPr>
            <w:tcW w:w="2711" w:type="dxa"/>
            <w:noWrap w:val="0"/>
            <w:vAlign w:val="center"/>
          </w:tcPr>
          <w:p w14:paraId="4AED6E0F">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项目名称</w:t>
            </w:r>
          </w:p>
        </w:tc>
        <w:tc>
          <w:tcPr>
            <w:tcW w:w="2576" w:type="dxa"/>
            <w:noWrap w:val="0"/>
            <w:vAlign w:val="center"/>
          </w:tcPr>
          <w:p w14:paraId="7F3FC969">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工作内容</w:t>
            </w:r>
          </w:p>
        </w:tc>
        <w:tc>
          <w:tcPr>
            <w:tcW w:w="1706" w:type="dxa"/>
            <w:noWrap w:val="0"/>
            <w:vAlign w:val="center"/>
          </w:tcPr>
          <w:p w14:paraId="31504285">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金额（元）</w:t>
            </w:r>
          </w:p>
        </w:tc>
        <w:tc>
          <w:tcPr>
            <w:tcW w:w="1106" w:type="dxa"/>
            <w:noWrap w:val="0"/>
            <w:vAlign w:val="center"/>
          </w:tcPr>
          <w:p w14:paraId="345D0E95">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备注</w:t>
            </w:r>
          </w:p>
        </w:tc>
      </w:tr>
      <w:tr w14:paraId="1B45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031" w:type="dxa"/>
            <w:noWrap w:val="0"/>
            <w:vAlign w:val="center"/>
          </w:tcPr>
          <w:p w14:paraId="2701031F">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1</w:t>
            </w:r>
          </w:p>
        </w:tc>
        <w:tc>
          <w:tcPr>
            <w:tcW w:w="2711" w:type="dxa"/>
            <w:noWrap w:val="0"/>
            <w:vAlign w:val="center"/>
          </w:tcPr>
          <w:p w14:paraId="487604DB">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bidi="ar"/>
              </w:rPr>
              <w:t>墨子实验室中原量子谷1号楼超净实验室工艺设备（一期）厂务二次配项目</w:t>
            </w:r>
          </w:p>
        </w:tc>
        <w:tc>
          <w:tcPr>
            <w:tcW w:w="2576" w:type="dxa"/>
            <w:noWrap w:val="0"/>
            <w:vAlign w:val="center"/>
          </w:tcPr>
          <w:p w14:paraId="7E2C27C7">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bidi="ar"/>
              </w:rPr>
              <w:t>墨子实验室中原量子谷1号楼超净实验室工艺设备（一期）厂务二次配项目</w:t>
            </w:r>
            <w:r>
              <w:rPr>
                <w:rFonts w:hint="eastAsia" w:ascii="宋体" w:hAnsi="宋体" w:cs="宋体"/>
                <w:color w:val="auto"/>
                <w:szCs w:val="21"/>
                <w:highlight w:val="none"/>
                <w:lang w:eastAsia="zh"/>
              </w:rPr>
              <w:t>设计</w:t>
            </w:r>
          </w:p>
        </w:tc>
        <w:tc>
          <w:tcPr>
            <w:tcW w:w="1706" w:type="dxa"/>
            <w:noWrap w:val="0"/>
            <w:vAlign w:val="center"/>
          </w:tcPr>
          <w:p w14:paraId="460298F8">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rPr>
            </w:pPr>
          </w:p>
        </w:tc>
        <w:tc>
          <w:tcPr>
            <w:tcW w:w="1106" w:type="dxa"/>
            <w:noWrap w:val="0"/>
            <w:vAlign w:val="center"/>
          </w:tcPr>
          <w:p w14:paraId="5587FEDB">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rPr>
            </w:pPr>
          </w:p>
        </w:tc>
      </w:tr>
      <w:tr w14:paraId="61CD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1031" w:type="dxa"/>
            <w:noWrap w:val="0"/>
            <w:vAlign w:val="center"/>
          </w:tcPr>
          <w:p w14:paraId="11B9957A">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2</w:t>
            </w:r>
          </w:p>
        </w:tc>
        <w:tc>
          <w:tcPr>
            <w:tcW w:w="2711" w:type="dxa"/>
            <w:noWrap w:val="0"/>
            <w:vAlign w:val="center"/>
          </w:tcPr>
          <w:p w14:paraId="788F5682">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bidi="ar"/>
              </w:rPr>
              <w:t>墨子实验室中原量子谷1号楼超净实验室工艺设备（一期）厂务二次配项目</w:t>
            </w:r>
          </w:p>
        </w:tc>
        <w:tc>
          <w:tcPr>
            <w:tcW w:w="2576" w:type="dxa"/>
            <w:noWrap w:val="0"/>
            <w:vAlign w:val="center"/>
          </w:tcPr>
          <w:p w14:paraId="2A8D11CF">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lang w:eastAsia="zh"/>
              </w:rPr>
            </w:pPr>
            <w:r>
              <w:rPr>
                <w:rFonts w:hint="eastAsia" w:ascii="宋体" w:hAnsi="宋体" w:cs="宋体"/>
                <w:color w:val="auto"/>
                <w:szCs w:val="21"/>
                <w:highlight w:val="none"/>
                <w:lang w:bidi="ar"/>
              </w:rPr>
              <w:t>墨子实验室中原量子谷1号楼超净实验室工艺设备（一期）厂务二次配项目</w:t>
            </w:r>
            <w:r>
              <w:rPr>
                <w:rFonts w:hint="eastAsia" w:ascii="宋体" w:hAnsi="宋体" w:cs="宋体"/>
                <w:color w:val="auto"/>
                <w:szCs w:val="21"/>
                <w:highlight w:val="none"/>
                <w:lang w:eastAsia="zh" w:bidi="ar"/>
              </w:rPr>
              <w:t>施工</w:t>
            </w:r>
          </w:p>
        </w:tc>
        <w:tc>
          <w:tcPr>
            <w:tcW w:w="1706" w:type="dxa"/>
            <w:noWrap w:val="0"/>
            <w:vAlign w:val="center"/>
          </w:tcPr>
          <w:p w14:paraId="54984335">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rPr>
            </w:pPr>
          </w:p>
        </w:tc>
        <w:tc>
          <w:tcPr>
            <w:tcW w:w="1106" w:type="dxa"/>
            <w:noWrap w:val="0"/>
            <w:vAlign w:val="center"/>
          </w:tcPr>
          <w:p w14:paraId="7ED52A1C">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rPr>
            </w:pPr>
          </w:p>
        </w:tc>
      </w:tr>
      <w:tr w14:paraId="2126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6318" w:type="dxa"/>
            <w:gridSpan w:val="3"/>
            <w:noWrap w:val="0"/>
            <w:vAlign w:val="center"/>
          </w:tcPr>
          <w:p w14:paraId="7774F502">
            <w:pPr>
              <w:keepNext w:val="0"/>
              <w:keepLines w:val="0"/>
              <w:suppressLineNumbers w:val="0"/>
              <w:spacing w:before="120" w:beforeLines="50" w:beforeAutospacing="0" w:after="120" w:afterLines="50" w:afterAutospacing="0"/>
              <w:ind w:left="0" w:right="0"/>
              <w:jc w:val="center"/>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eastAsia="zh-CN" w:bidi="ar"/>
              </w:rPr>
              <w:t>合计（元）</w:t>
            </w:r>
          </w:p>
        </w:tc>
        <w:tc>
          <w:tcPr>
            <w:tcW w:w="2812" w:type="dxa"/>
            <w:gridSpan w:val="2"/>
            <w:noWrap w:val="0"/>
            <w:vAlign w:val="center"/>
          </w:tcPr>
          <w:p w14:paraId="7D2BF460">
            <w:pPr>
              <w:keepNext w:val="0"/>
              <w:keepLines w:val="0"/>
              <w:suppressLineNumbers w:val="0"/>
              <w:spacing w:before="120" w:beforeLines="50" w:beforeAutospacing="0" w:after="120" w:afterLines="50" w:afterAutospacing="0"/>
              <w:ind w:left="0" w:right="0"/>
              <w:jc w:val="center"/>
              <w:rPr>
                <w:rFonts w:hint="eastAsia" w:ascii="宋体" w:hAnsi="宋体" w:cs="宋体"/>
                <w:color w:val="auto"/>
                <w:szCs w:val="21"/>
                <w:highlight w:val="none"/>
              </w:rPr>
            </w:pPr>
          </w:p>
        </w:tc>
      </w:tr>
    </w:tbl>
    <w:p w14:paraId="69B691DF">
      <w:pPr>
        <w:spacing w:line="360" w:lineRule="auto"/>
        <w:ind w:firstLine="3780" w:firstLineChars="1800"/>
        <w:rPr>
          <w:rFonts w:hint="eastAsia" w:ascii="宋体" w:hAnsi="宋体" w:cs="宋体"/>
          <w:color w:val="auto"/>
          <w:szCs w:val="21"/>
          <w:highlight w:val="none"/>
          <w:lang w:eastAsia="zh-CN"/>
        </w:rPr>
      </w:pPr>
    </w:p>
    <w:p w14:paraId="42B4C987">
      <w:pPr>
        <w:spacing w:line="360" w:lineRule="auto"/>
        <w:ind w:firstLine="3780" w:firstLineChars="1800"/>
        <w:rPr>
          <w:rFonts w:hint="eastAsia" w:ascii="宋体" w:hAnsi="宋体" w:cs="宋体"/>
          <w:color w:val="auto"/>
          <w:szCs w:val="21"/>
          <w:highlight w:val="none"/>
          <w:lang w:eastAsia="zh-CN"/>
        </w:rPr>
      </w:pPr>
    </w:p>
    <w:p w14:paraId="7BC60FEC">
      <w:pPr>
        <w:spacing w:line="360" w:lineRule="auto"/>
        <w:ind w:firstLine="3780" w:firstLineChars="1800"/>
        <w:rPr>
          <w:rFonts w:hint="eastAsia" w:ascii="宋体" w:hAnsi="宋体" w:cs="宋体"/>
          <w:color w:val="auto"/>
          <w:szCs w:val="21"/>
          <w:highlight w:val="none"/>
          <w:lang w:eastAsia="zh-CN"/>
        </w:rPr>
      </w:pPr>
    </w:p>
    <w:p w14:paraId="336A9E7F">
      <w:pPr>
        <w:spacing w:line="360" w:lineRule="auto"/>
        <w:ind w:firstLine="3780" w:firstLineChars="1800"/>
        <w:rPr>
          <w:rFonts w:hint="eastAsia" w:ascii="宋体" w:hAnsi="宋体" w:cs="宋体"/>
          <w:color w:val="auto"/>
          <w:szCs w:val="21"/>
          <w:highlight w:val="none"/>
          <w:lang w:eastAsia="zh-CN"/>
        </w:rPr>
      </w:pPr>
    </w:p>
    <w:p w14:paraId="7855F6A1">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（盖章）</w:t>
      </w:r>
    </w:p>
    <w:p w14:paraId="0186822B">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法定代表人或其授权委托人：</w:t>
      </w:r>
      <w:r>
        <w:rPr>
          <w:rFonts w:hint="eastAsia" w:ascii="宋体" w:hAnsi="宋体" w:cs="宋体"/>
          <w:color w:val="auto"/>
          <w:szCs w:val="21"/>
          <w:highlight w:val="none"/>
          <w:u w:val="single"/>
        </w:rPr>
        <w:t xml:space="preserve">     （签字或盖章）</w:t>
      </w:r>
    </w:p>
    <w:p w14:paraId="7A995887">
      <w:pPr>
        <w:spacing w:line="360" w:lineRule="auto"/>
        <w:ind w:firstLine="3780" w:firstLineChars="1800"/>
        <w:rPr>
          <w:rFonts w:ascii="宋体" w:hAnsi="宋体" w:cs="宋体"/>
          <w:color w:val="auto"/>
          <w:sz w:val="24"/>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年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月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日</w:t>
      </w:r>
    </w:p>
    <w:p w14:paraId="6712BBAC">
      <w:pPr>
        <w:rPr>
          <w:rFonts w:ascii="宋体" w:hAnsi="宋体" w:cs="宋体"/>
          <w:color w:val="auto"/>
          <w:highlight w:val="none"/>
        </w:rPr>
      </w:pPr>
    </w:p>
    <w:p w14:paraId="6AE2D485">
      <w:pPr>
        <w:jc w:val="center"/>
        <w:rPr>
          <w:rFonts w:hint="eastAsia" w:eastAsia="宋体"/>
          <w:b/>
          <w:bCs/>
          <w:color w:val="auto"/>
          <w:highlight w:val="none"/>
          <w:lang w:eastAsia="zh"/>
          <w:woUserID w:val="3"/>
        </w:rPr>
      </w:pPr>
      <w:r>
        <w:rPr>
          <w:rFonts w:hint="eastAsia" w:ascii="宋体" w:hAnsi="宋体" w:cs="宋体"/>
          <w:color w:val="auto"/>
          <w:highlight w:val="none"/>
        </w:rPr>
        <w:br w:type="page"/>
      </w:r>
      <w:r>
        <w:rPr>
          <w:rFonts w:hint="eastAsia" w:eastAsia="宋体"/>
          <w:b/>
          <w:bCs/>
          <w:color w:val="auto"/>
          <w:highlight w:val="none"/>
          <w:lang w:eastAsia="zh"/>
          <w:woUserID w:val="3"/>
        </w:rPr>
        <w:t>（二）主要材料报价表</w:t>
      </w:r>
    </w:p>
    <w:tbl>
      <w:tblPr>
        <w:tblStyle w:val="27"/>
        <w:tblW w:w="8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929"/>
        <w:gridCol w:w="1250"/>
        <w:gridCol w:w="1144"/>
        <w:gridCol w:w="851"/>
        <w:gridCol w:w="1132"/>
        <w:gridCol w:w="866"/>
        <w:gridCol w:w="941"/>
        <w:gridCol w:w="851"/>
      </w:tblGrid>
      <w:tr w14:paraId="42F3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905" w:type="dxa"/>
            <w:gridSpan w:val="9"/>
            <w:tcBorders>
              <w:top w:val="single" w:color="000000" w:sz="8" w:space="0"/>
              <w:left w:val="single" w:color="000000" w:sz="8" w:space="0"/>
              <w:bottom w:val="single" w:color="000000" w:sz="4" w:space="0"/>
              <w:right w:val="single" w:color="000000" w:sz="4" w:space="0"/>
            </w:tcBorders>
            <w:shd w:val="clear" w:color="auto" w:fill="auto"/>
            <w:vAlign w:val="center"/>
          </w:tcPr>
          <w:p w14:paraId="356AF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二次配工程主材表-低压配电（Power）系统</w:t>
            </w:r>
          </w:p>
        </w:tc>
      </w:tr>
      <w:tr w14:paraId="3879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C84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D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7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2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43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B5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87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72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72FA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5407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AEF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87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电气</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9A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电线/电缆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96D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673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4B0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08B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7BA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6B79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7F0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195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79D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4E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电缆桥架/线槽</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F4E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BA4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E8F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F58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852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E88C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2AD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74B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6A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B6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工业电源连接器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5A1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6CC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120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9E7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C93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00BE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717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B51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5A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电气</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9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插座面板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496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E2E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F70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D01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276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9BD1D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306E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FF0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D6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03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低压配电柜、三箱元器件（断路器、接触器、负荷开关、隔离开关、中间继电器、按钮、指示灯等）</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BA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ACB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852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0FE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E3F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C1CA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AD6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E1E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A2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7D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三箱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DBA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7F9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A53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C35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6ED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8939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C9F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6A8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A5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58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三箱接线端子 （包含设备自带控制箱）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BD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812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37E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C30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BDD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4AA1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73D6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172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8</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884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E9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I-Line盘</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5C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D89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652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A82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78B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5D5F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0B5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A38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9</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6E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CA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变压器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2E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7FD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674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617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37F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BA3F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9F1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A96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10</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D7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8E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插拔式开关</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328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3E8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582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7A6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994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B175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E42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794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11</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A1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5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4K电子显示屏</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286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F0A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6C3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BEB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CCA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A364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B4D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E3F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12</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8A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电气</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D5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有源滤波器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3F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D7E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B37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3A7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794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2F0A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2079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134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57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C5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母线插接箱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697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07B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75B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0BA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1AF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7597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F78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E6E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14</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D4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00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防火封堵</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7AD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C2A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65C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4D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D01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91D4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84A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045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F1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9B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B96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607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13D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D14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03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2330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38D0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905"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4ECAC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二次配工程主材表-制程冷却水(PCW)&amp;回收水(LSW)&amp;自来水&amp;</w:t>
            </w:r>
          </w:p>
        </w:tc>
      </w:tr>
      <w:tr w14:paraId="4318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CC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0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7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74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43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7B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C0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DC79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2C41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876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0A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管道</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1D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不锈钢管道与管件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98A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2E0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532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9C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E34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7D4B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24B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EB5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54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12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PVC高压软管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04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279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413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555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6ED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C946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CA9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E37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C6B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F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不锈钢高压软管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E96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507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16D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E71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417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079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AAE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845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8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5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不锈钢球阀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AE8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77C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EAE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CFE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5C9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54F4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32FE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521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C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F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不锈钢减压阀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24C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2BA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C77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B79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193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932C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51B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D9F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C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CD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过滤器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027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FA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E94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6D7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AFD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C24A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10F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145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B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接头</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C4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快接</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A6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0CE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AC4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BB7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CD4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66D2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FB3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C40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8</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65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仪表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B5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压力表、温度计(机械式)</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223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DF7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576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319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7B5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269C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156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F38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9</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659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C9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浮子式流量计(非电子表)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56B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12C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285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4FD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036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BBBA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5D0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886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F7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保温</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1F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橡塑保温材料</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66C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919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27B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53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EA3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DE0689">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sz w:val="21"/>
                <w:szCs w:val="21"/>
                <w:highlight w:val="none"/>
                <w:u w:val="none"/>
                <w:woUserID w:val="3"/>
              </w:rPr>
            </w:pPr>
          </w:p>
        </w:tc>
      </w:tr>
      <w:tr w14:paraId="0C21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9A97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D3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3BD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0B9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ED6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93A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4AD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9D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F6CF79">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sz w:val="21"/>
                <w:szCs w:val="21"/>
                <w:highlight w:val="none"/>
                <w:u w:val="none"/>
                <w:woUserID w:val="3"/>
              </w:rPr>
            </w:pPr>
          </w:p>
        </w:tc>
      </w:tr>
      <w:tr w14:paraId="0724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2BE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45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A8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34F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0BA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72D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607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13C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2E69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C4E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905"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1C61D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二次配工程主材表-高真空（Pumpingline）系统</w:t>
            </w:r>
          </w:p>
        </w:tc>
      </w:tr>
      <w:tr w14:paraId="58E5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E8D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6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5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C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56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0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3B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5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BDB3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6652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BBC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9D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高温烤盘炉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60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GaN GaO高温烤盘炉</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056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69B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7D0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8D7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91B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76E5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DF4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300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99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E3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GaAs,InP高温烤盘炉</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7F0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A60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FCE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626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ED7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D7A4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7B8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B46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66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管道</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A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不锈钢管道及管件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01E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E16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8CC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A1D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FD9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20D3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D49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596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01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D1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不锈钢波纹管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23D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065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F0A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16D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63F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92CE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586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839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1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F6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不锈钢球阀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1C3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B6A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801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8C7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1EA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816A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275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5F8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6</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9C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2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真空闸阀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049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30C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FD3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00B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D79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9CD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2F55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30A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7A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6C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角阀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F78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5AF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019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D46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739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1DF2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92B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CBB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8</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FF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配件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26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全氟(FFKM) O-Ring</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7D0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F51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D02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05E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6C2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CFEC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3D5C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A61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9</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3F9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加热夹克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57E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A44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EBD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CA3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0C0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2C2C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3E73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23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AA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5B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F09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9C6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515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1A6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13A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1B58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39E3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905"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2921F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二次配工程主材表-制程排气(Exhaust)系统</w:t>
            </w:r>
          </w:p>
        </w:tc>
      </w:tr>
      <w:tr w14:paraId="3988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470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F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9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7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70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56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B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A8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C387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670D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62A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阀门及管道</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4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 xml:space="preserve">耐酸碱内衬特氟龙风管及风门阀件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84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1BF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6BB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2AE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D70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2A6B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99F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4ED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阀门及管道</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07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 xml:space="preserve">镀锌螺旋风管及风门阀件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AA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316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C9E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131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53D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B0C3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2821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44C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阀门及管道</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4E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PVC管及风门阀件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C1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987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CDE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3CF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D81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15B6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DFE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B44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F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阀门及管道</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62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不锈钢风管及风门阀件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402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F59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2D5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F04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A6F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56A7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929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67A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F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仪表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6F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压差表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A05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A7B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6C4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3E9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D6A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09CB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BE8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B1A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4A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4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AA2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481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876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7BD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17B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4433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7F13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905"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02D79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二次配工程主材表-纯水(UPW)系统</w:t>
            </w:r>
          </w:p>
        </w:tc>
      </w:tr>
      <w:tr w14:paraId="7B925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243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8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1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C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1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82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9A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18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293A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6247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195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33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管道及管件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D7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PVDF-UHP管道及管件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A83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E96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AB2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6FF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290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8644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644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146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A8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29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Clean-PVC管道</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65C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CC9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E12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E3F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3C9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0D4B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706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8A3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5A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49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PP（HP）管道及管件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382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924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14C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9E2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01F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C140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191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47E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59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5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PVDF-UHP隔膜阀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C57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E25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B72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971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593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D5D9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61E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40A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7D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8E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PVDF-UHP调压阀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E95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970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90C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7D3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673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6A6A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DC3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538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5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仪表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82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隔膜压力表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17B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D7F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C47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3DA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B7F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3368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5AA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DF6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34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F0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96C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207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127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D9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363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7012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F9A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905"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10C28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二次配工程主材表-化学品（Chemical）&amp; 研磨液(Slurry)供应系统</w:t>
            </w:r>
          </w:p>
        </w:tc>
      </w:tr>
      <w:tr w14:paraId="3139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CF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2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6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A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D8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F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C0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D0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5430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7644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72C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49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管道及管件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D9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SUS316L EP无缝管及管件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EBB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747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AFD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35D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AF2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D880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7DB1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E46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73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F8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PFA-UHP管道</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46A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523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E61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D54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829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C317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B3F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3C0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C6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7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Clear PVC管道及管件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BD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479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94F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2DC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88E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ED5E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4D3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12A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220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9D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028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2F8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348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6DD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F26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5B21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DA2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905"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7D219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二次配工程主材表-废水（Drain）&amp; 制程排酸(PDS)&amp; 清扫真空(HV)系统</w:t>
            </w:r>
          </w:p>
        </w:tc>
      </w:tr>
      <w:tr w14:paraId="3624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AB6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F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E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B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21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23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2B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32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6684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6D09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7E4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AF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管道及管件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2A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CS+PTFE管道</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92E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D70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5ED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389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13F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798F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0E9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0BC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41A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0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PVDF管道（非洁净）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AC2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97B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6BC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648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BB2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A54C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D24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158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EC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82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PVC sch80管路和接头</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FFC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D8F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204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C16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E71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7ED3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369E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349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CD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A7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PP管道及管件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68B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432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390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30A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2BB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1BBC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77F4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DBF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16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9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SUS304不锈钢管道</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20B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80C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639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B60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C57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7036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29C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6B2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6</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80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A0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PVC球阀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84A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BFA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2AC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126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8DA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637B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A1E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F58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51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B1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PP球阀/止回阀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0B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ECC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DA8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C33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A3F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D750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79B4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3A2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8</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C5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BA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不锈钢球阀/止回阀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E65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6A1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CDE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778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A14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1FAD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291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A24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79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25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A18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4D6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137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C1F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C54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A8BA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7A15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905"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646AF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二次配工程主材表-特气&amp;大宗气系统</w:t>
            </w:r>
          </w:p>
        </w:tc>
      </w:tr>
      <w:tr w14:paraId="4E4A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7B6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2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A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E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23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25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74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72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8F57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3350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FF6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46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管道及管件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E8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SS304 EP管（特气）</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55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99A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9BB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F7B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578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E1E5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7B26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20B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1AC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31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SS304AP、SS316L BA/SS管道高纯不锈钢管材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987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A6C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248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9DF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79F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1BBC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C98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D9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58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D6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SS304 EP管（大宗气）</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2BD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0C5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58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A29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DAE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539D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7EAF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2FF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76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D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VCR与卡套接头</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A47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E2A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870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9F8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C9E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1678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2A6D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5AD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5</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DD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7E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球阀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8EE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809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7BD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D6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43D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0C42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667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307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8E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3D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隔膜阀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D82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F73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FE4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109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B1E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34EC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795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47A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7</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3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阀门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DF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波纹管阀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25D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694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9A8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54F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C76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53F5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462C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39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8</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0D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E2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逆止阀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31A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EA6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8A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553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423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7B91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2BC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932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9</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9A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82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调压阀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DB8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987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354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4C7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9F0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445A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BCD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059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10</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E3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98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电磁阀（CDA）</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00D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BE7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8BB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A80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4E3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F346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477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17D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63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仪表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37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压力传感器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41C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45B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6FA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A57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05B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CF80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4B0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BD4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9B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ED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压力表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5BC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E20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699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FD7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333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4D3E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3CD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69E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215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E4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气体侦测器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68A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57C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FEE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2EA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A3A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842B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898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19AC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woUserID w:val="1"/>
              </w:rPr>
            </w:pPr>
            <w:r>
              <w:rPr>
                <w:rFonts w:hint="eastAsia" w:ascii="宋体" w:hAnsi="宋体" w:cs="宋体"/>
                <w:i w:val="0"/>
                <w:iCs w:val="0"/>
                <w:color w:val="auto"/>
                <w:kern w:val="0"/>
                <w:sz w:val="21"/>
                <w:szCs w:val="21"/>
                <w:highlight w:val="none"/>
                <w:u w:val="none"/>
                <w:lang w:val="en-US" w:eastAsia="zh" w:bidi="ar"/>
                <w:woUserID w:val="1"/>
              </w:rPr>
              <w:t>14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D61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D12">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auto"/>
                <w:kern w:val="0"/>
                <w:sz w:val="21"/>
                <w:szCs w:val="21"/>
                <w:highlight w:val="none"/>
                <w:u w:val="none"/>
                <w:lang w:val="en-US" w:eastAsia="zh" w:bidi="ar"/>
                <w:woUserID w:val="1"/>
              </w:rPr>
            </w:pPr>
            <w:r>
              <w:rPr>
                <w:rFonts w:hint="eastAsia" w:ascii="宋体" w:hAnsi="宋体" w:cs="宋体"/>
                <w:i w:val="0"/>
                <w:iCs w:val="0"/>
                <w:color w:val="auto"/>
                <w:kern w:val="0"/>
                <w:sz w:val="21"/>
                <w:szCs w:val="21"/>
                <w:highlight w:val="none"/>
                <w:u w:val="none"/>
                <w:lang w:val="en-US" w:eastAsia="zh" w:bidi="ar"/>
                <w:woUserID w:val="1"/>
              </w:rPr>
              <w:t>正压式呼吸器（A09、A10房间用）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5FE6">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0819">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3770">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022F">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sz w:val="21"/>
                <w:szCs w:val="21"/>
                <w:highlight w:val="none"/>
                <w:u w:val="none"/>
                <w:woUserID w:val="3"/>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C58D">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250DD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i w:val="0"/>
                <w:iCs w:val="0"/>
                <w:color w:val="auto"/>
                <w:sz w:val="21"/>
                <w:szCs w:val="21"/>
                <w:highlight w:val="none"/>
                <w:u w:val="none"/>
                <w:woUserID w:val="3"/>
              </w:rPr>
            </w:pPr>
          </w:p>
        </w:tc>
      </w:tr>
      <w:tr w14:paraId="4E21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B01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eastAsia="zh"/>
                <w:woUserID w:val="1"/>
              </w:rPr>
            </w:pPr>
            <w:r>
              <w:rPr>
                <w:rFonts w:hint="eastAsia" w:ascii="宋体" w:hAnsi="宋体" w:eastAsia="宋体" w:cs="宋体"/>
                <w:i w:val="0"/>
                <w:iCs w:val="0"/>
                <w:color w:val="auto"/>
                <w:kern w:val="0"/>
                <w:sz w:val="21"/>
                <w:szCs w:val="21"/>
                <w:highlight w:val="none"/>
                <w:u w:val="none"/>
                <w:lang w:val="en-US" w:eastAsia="zh-CN" w:bidi="ar"/>
                <w:woUserID w:val="3"/>
              </w:rPr>
              <w:t>1</w:t>
            </w:r>
            <w:r>
              <w:rPr>
                <w:rFonts w:hint="eastAsia" w:ascii="宋体" w:hAnsi="宋体" w:cs="宋体"/>
                <w:i w:val="0"/>
                <w:iCs w:val="0"/>
                <w:color w:val="auto"/>
                <w:kern w:val="0"/>
                <w:sz w:val="21"/>
                <w:szCs w:val="21"/>
                <w:highlight w:val="none"/>
                <w:u w:val="none"/>
                <w:lang w:val="en-US" w:eastAsia="zh" w:bidi="ar"/>
                <w:woUserID w:val="1"/>
              </w:rPr>
              <w:t>5</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9C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设备材料</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82E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橡塑保温</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8ED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BC1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92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CC0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26B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7ADC85">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sz w:val="21"/>
                <w:szCs w:val="21"/>
                <w:highlight w:val="none"/>
                <w:u w:val="none"/>
                <w:woUserID w:val="3"/>
              </w:rPr>
            </w:pPr>
          </w:p>
        </w:tc>
      </w:tr>
      <w:tr w14:paraId="6207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18F4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7A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D8E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210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570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D71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DEF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866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AB72BD">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sz w:val="21"/>
                <w:szCs w:val="21"/>
                <w:highlight w:val="none"/>
                <w:u w:val="none"/>
                <w:woUserID w:val="3"/>
              </w:rPr>
            </w:pPr>
          </w:p>
        </w:tc>
      </w:tr>
      <w:tr w14:paraId="3A6C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9C5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eastAsia="zh"/>
                <w:woUserID w:val="1"/>
              </w:rPr>
            </w:pPr>
            <w:r>
              <w:rPr>
                <w:rFonts w:hint="eastAsia" w:ascii="宋体" w:hAnsi="宋体" w:eastAsia="宋体" w:cs="宋体"/>
                <w:i w:val="0"/>
                <w:iCs w:val="0"/>
                <w:color w:val="auto"/>
                <w:kern w:val="0"/>
                <w:sz w:val="21"/>
                <w:szCs w:val="21"/>
                <w:highlight w:val="none"/>
                <w:u w:val="none"/>
                <w:lang w:val="en-US" w:eastAsia="zh-CN" w:bidi="ar"/>
                <w:woUserID w:val="3"/>
              </w:rPr>
              <w:t>1</w:t>
            </w:r>
            <w:r>
              <w:rPr>
                <w:rFonts w:hint="eastAsia" w:ascii="宋体" w:hAnsi="宋体" w:cs="宋体"/>
                <w:i w:val="0"/>
                <w:iCs w:val="0"/>
                <w:color w:val="auto"/>
                <w:kern w:val="0"/>
                <w:sz w:val="21"/>
                <w:szCs w:val="21"/>
                <w:highlight w:val="none"/>
                <w:u w:val="none"/>
                <w:lang w:val="en-US" w:eastAsia="zh" w:bidi="ar"/>
                <w:woUserID w:val="1"/>
              </w:rPr>
              <w:t>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FA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8D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除油过滤器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516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134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101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1B0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619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0E83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3E05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651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eastAsia="zh"/>
                <w:woUserID w:val="1"/>
              </w:rPr>
            </w:pPr>
            <w:r>
              <w:rPr>
                <w:rFonts w:hint="eastAsia" w:ascii="宋体" w:hAnsi="宋体" w:eastAsia="宋体" w:cs="宋体"/>
                <w:i w:val="0"/>
                <w:iCs w:val="0"/>
                <w:color w:val="auto"/>
                <w:kern w:val="0"/>
                <w:sz w:val="21"/>
                <w:szCs w:val="21"/>
                <w:highlight w:val="none"/>
                <w:u w:val="none"/>
                <w:lang w:val="en-US" w:eastAsia="zh-CN" w:bidi="ar"/>
                <w:woUserID w:val="3"/>
              </w:rPr>
              <w:t>1</w:t>
            </w:r>
            <w:r>
              <w:rPr>
                <w:rFonts w:hint="eastAsia" w:ascii="宋体" w:hAnsi="宋体" w:cs="宋体"/>
                <w:i w:val="0"/>
                <w:iCs w:val="0"/>
                <w:color w:val="auto"/>
                <w:kern w:val="0"/>
                <w:sz w:val="21"/>
                <w:szCs w:val="21"/>
                <w:highlight w:val="none"/>
                <w:u w:val="none"/>
                <w:lang w:val="en-US" w:eastAsia="zh" w:bidi="ar"/>
                <w:woUserID w:val="1"/>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0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仪表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D7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流量计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29E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27D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8FA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04A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EC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D3C4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20E5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EFE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eastAsia="zh"/>
                <w:woUserID w:val="1"/>
              </w:rPr>
            </w:pPr>
            <w:r>
              <w:rPr>
                <w:rFonts w:hint="eastAsia" w:ascii="宋体" w:hAnsi="宋体" w:eastAsia="宋体" w:cs="宋体"/>
                <w:i w:val="0"/>
                <w:iCs w:val="0"/>
                <w:color w:val="auto"/>
                <w:kern w:val="0"/>
                <w:sz w:val="21"/>
                <w:szCs w:val="21"/>
                <w:highlight w:val="none"/>
                <w:u w:val="none"/>
                <w:lang w:val="en-US" w:eastAsia="zh-CN" w:bidi="ar"/>
                <w:woUserID w:val="3"/>
              </w:rPr>
              <w:t>1</w:t>
            </w:r>
            <w:r>
              <w:rPr>
                <w:rFonts w:hint="eastAsia" w:ascii="宋体" w:hAnsi="宋体" w:cs="宋体"/>
                <w:i w:val="0"/>
                <w:iCs w:val="0"/>
                <w:color w:val="auto"/>
                <w:kern w:val="0"/>
                <w:sz w:val="21"/>
                <w:szCs w:val="21"/>
                <w:highlight w:val="none"/>
                <w:u w:val="none"/>
                <w:lang w:val="en-US" w:eastAsia="zh" w:bidi="ar"/>
                <w:woUserID w:val="1"/>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9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设备材料</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E3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加热带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875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B31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BAD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F9B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2C6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817E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6E55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2CC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C6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1E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151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CFC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C39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F06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014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D54A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2A3B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905"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48FA3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二次配工程主材表-内装系统</w:t>
            </w:r>
          </w:p>
        </w:tc>
      </w:tr>
      <w:tr w14:paraId="54FF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E8D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5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F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0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3A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6B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B5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DF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A3A1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4B38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3A1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E7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材料</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99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硅胶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3E4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183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DFA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BBA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EDD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B543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2A7F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2CC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CB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9C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铝合金高架地板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3A7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07D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CA1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E3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D4B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35C6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B96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C9A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326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21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防静电PVC地板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36E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A83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BAE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3FE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B68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6CC7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7C3D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125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74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FD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室内金属面夹芯板及吊顶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A64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6B4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A80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985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E67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9849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2A75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D9E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8B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91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653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BA9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CFA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32C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03D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DBE8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51D9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905"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08EF2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二次配工程主材表-仪控与弱电系统</w:t>
            </w:r>
          </w:p>
        </w:tc>
      </w:tr>
      <w:tr w14:paraId="3B18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D46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9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分类</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D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产品名称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E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主要参数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13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A7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规格型号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B3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5E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单价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CDAA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woUserID w:val="3"/>
              </w:rPr>
            </w:pPr>
            <w:r>
              <w:rPr>
                <w:rFonts w:hint="eastAsia" w:ascii="宋体" w:hAnsi="宋体" w:eastAsia="宋体" w:cs="宋体"/>
                <w:b/>
                <w:bCs/>
                <w:i w:val="0"/>
                <w:iCs w:val="0"/>
                <w:color w:val="auto"/>
                <w:kern w:val="0"/>
                <w:sz w:val="21"/>
                <w:szCs w:val="21"/>
                <w:highlight w:val="none"/>
                <w:u w:val="none"/>
                <w:lang w:val="en-US" w:eastAsia="zh-CN" w:bidi="ar"/>
                <w:woUserID w:val="3"/>
              </w:rPr>
              <w:t>备注</w:t>
            </w:r>
          </w:p>
        </w:tc>
      </w:tr>
      <w:tr w14:paraId="2C97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E75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B4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控制系统</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41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工作站电脑及服务器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C7F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FA6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007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324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9BC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EFB2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03B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B115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04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84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SCADA软件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E1F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BD9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0C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9D5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7E2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D384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2DA3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28A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66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75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工业交换机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9A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B47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D7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760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92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ADB2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4E8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931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4</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AA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9E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PID控制器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C6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9F0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150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E0E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29F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3144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6DF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E82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F1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90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PLC控制器（含RIO站）</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BA9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16A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D2F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0CD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521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FB6FE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09FC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2AE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3DE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56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继电器（PLC、控制盘柜）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994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B8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A6C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5DB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75F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76F6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15AB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44E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994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C9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隔离栅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877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859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E78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938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647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FEC8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r>
      <w:tr w14:paraId="31B8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706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E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通讯</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C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综合布线（六类非屏蔽双绞线、模块、24口配线架、理线器、面板、六类原装跳线）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2AF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CA9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48A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CF4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E93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E477BA">
            <w:pPr>
              <w:keepNext w:val="0"/>
              <w:keepLines w:val="0"/>
              <w:suppressLineNumbers w:val="0"/>
              <w:spacing w:before="0" w:beforeAutospacing="0" w:after="0" w:afterAutospacing="0"/>
              <w:ind w:left="0" w:right="0"/>
              <w:jc w:val="both"/>
              <w:rPr>
                <w:rFonts w:hint="eastAsia" w:ascii="宋体" w:hAnsi="宋体" w:eastAsia="宋体" w:cs="宋体"/>
                <w:i w:val="0"/>
                <w:iCs w:val="0"/>
                <w:color w:val="auto"/>
                <w:sz w:val="22"/>
                <w:szCs w:val="22"/>
                <w:highlight w:val="none"/>
                <w:u w:val="none"/>
                <w:woUserID w:val="3"/>
              </w:rPr>
            </w:pPr>
          </w:p>
        </w:tc>
      </w:tr>
      <w:tr w14:paraId="73CA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FF7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6E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woUserID w:val="3"/>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35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woUserID w:val="3"/>
              </w:rPr>
            </w:pPr>
            <w:r>
              <w:rPr>
                <w:rFonts w:hint="eastAsia" w:ascii="宋体" w:hAnsi="宋体" w:eastAsia="宋体" w:cs="宋体"/>
                <w:i w:val="0"/>
                <w:iCs w:val="0"/>
                <w:color w:val="auto"/>
                <w:kern w:val="0"/>
                <w:sz w:val="21"/>
                <w:szCs w:val="21"/>
                <w:highlight w:val="none"/>
                <w:u w:val="none"/>
                <w:lang w:val="en-US" w:eastAsia="zh-CN" w:bidi="ar"/>
                <w:woUserID w:val="3"/>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F33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875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86B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DFD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53D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woUserID w:val="3"/>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6A6565">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woUserID w:val="3"/>
              </w:rPr>
            </w:pPr>
          </w:p>
        </w:tc>
      </w:tr>
    </w:tbl>
    <w:p w14:paraId="0289CC7B">
      <w:pPr>
        <w:rPr>
          <w:rFonts w:hint="eastAsia" w:ascii="宋体" w:hAnsi="宋体" w:cs="宋体"/>
          <w:color w:val="auto"/>
          <w:highlight w:val="none"/>
          <w:lang w:eastAsia="zh"/>
          <w:woUserID w:val="3"/>
        </w:rPr>
      </w:pPr>
      <w:r>
        <w:rPr>
          <w:rFonts w:hint="eastAsia" w:ascii="宋体" w:hAnsi="宋体" w:cs="宋体"/>
          <w:color w:val="auto"/>
          <w:highlight w:val="none"/>
          <w:lang w:eastAsia="zh"/>
          <w:woUserID w:val="3"/>
        </w:rPr>
        <w:br w:type="page"/>
      </w:r>
    </w:p>
    <w:p w14:paraId="578158E1">
      <w:pPr>
        <w:pStyle w:val="3"/>
        <w:rPr>
          <w:rFonts w:ascii="宋体" w:hAnsi="宋体" w:cs="宋体"/>
          <w:color w:val="auto"/>
          <w:highlight w:val="none"/>
        </w:rPr>
      </w:pPr>
      <w:bookmarkStart w:id="1175" w:name="_Toc23149"/>
      <w:r>
        <w:rPr>
          <w:rFonts w:hint="eastAsia" w:ascii="宋体" w:hAnsi="宋体" w:cs="宋体"/>
          <w:color w:val="auto"/>
          <w:highlight w:val="none"/>
        </w:rPr>
        <w:t>六、资格审查资料</w:t>
      </w:r>
      <w:bookmarkEnd w:id="1164"/>
      <w:bookmarkEnd w:id="1165"/>
      <w:bookmarkEnd w:id="1166"/>
      <w:bookmarkEnd w:id="1167"/>
      <w:bookmarkEnd w:id="1168"/>
      <w:bookmarkEnd w:id="1169"/>
      <w:bookmarkEnd w:id="1170"/>
      <w:bookmarkEnd w:id="1175"/>
    </w:p>
    <w:p w14:paraId="135AA8B0">
      <w:pPr>
        <w:jc w:val="center"/>
        <w:outlineLvl w:val="1"/>
        <w:rPr>
          <w:rFonts w:ascii="宋体" w:hAnsi="宋体" w:cs="宋体"/>
          <w:b/>
          <w:bCs/>
          <w:color w:val="auto"/>
          <w:sz w:val="24"/>
          <w:highlight w:val="none"/>
        </w:rPr>
      </w:pPr>
      <w:bookmarkStart w:id="1176" w:name="_Toc15357"/>
      <w:bookmarkStart w:id="1177" w:name="_Toc9184"/>
      <w:bookmarkStart w:id="1178" w:name="_Toc28882"/>
      <w:bookmarkStart w:id="1179" w:name="_Toc21793"/>
      <w:bookmarkStart w:id="1180" w:name="_Toc13197"/>
      <w:bookmarkStart w:id="1181" w:name="_Toc8717"/>
      <w:bookmarkStart w:id="1182" w:name="_Toc490667901"/>
      <w:bookmarkStart w:id="1183" w:name="_Toc475624459"/>
      <w:bookmarkStart w:id="1184" w:name="_Toc7541"/>
      <w:bookmarkStart w:id="1185" w:name="_Toc475341817"/>
      <w:bookmarkStart w:id="1186" w:name="_Toc12832"/>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基本情况表</w:t>
      </w:r>
      <w:bookmarkEnd w:id="1176"/>
      <w:bookmarkEnd w:id="1177"/>
      <w:bookmarkEnd w:id="1178"/>
      <w:bookmarkEnd w:id="1179"/>
      <w:bookmarkEnd w:id="1180"/>
      <w:bookmarkEnd w:id="1181"/>
      <w:bookmarkEnd w:id="1182"/>
      <w:bookmarkEnd w:id="1183"/>
      <w:bookmarkEnd w:id="1184"/>
      <w:bookmarkEnd w:id="1185"/>
      <w:bookmarkEnd w:id="1186"/>
    </w:p>
    <w:tbl>
      <w:tblPr>
        <w:tblStyle w:val="27"/>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091"/>
        <w:gridCol w:w="1096"/>
        <w:gridCol w:w="1371"/>
        <w:gridCol w:w="211"/>
        <w:gridCol w:w="1339"/>
        <w:gridCol w:w="277"/>
        <w:gridCol w:w="761"/>
        <w:gridCol w:w="1525"/>
      </w:tblGrid>
      <w:tr w14:paraId="6033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32C5D80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p>
        </w:tc>
        <w:tc>
          <w:tcPr>
            <w:tcW w:w="7671" w:type="dxa"/>
            <w:gridSpan w:val="8"/>
            <w:vAlign w:val="center"/>
          </w:tcPr>
          <w:p w14:paraId="159B635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7EE9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51BC68F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注册地址</w:t>
            </w:r>
          </w:p>
        </w:tc>
        <w:tc>
          <w:tcPr>
            <w:tcW w:w="3769" w:type="dxa"/>
            <w:gridSpan w:val="4"/>
            <w:vAlign w:val="center"/>
          </w:tcPr>
          <w:p w14:paraId="6EF36B1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339" w:type="dxa"/>
            <w:vAlign w:val="center"/>
          </w:tcPr>
          <w:p w14:paraId="6876D96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邮政编码</w:t>
            </w:r>
          </w:p>
        </w:tc>
        <w:tc>
          <w:tcPr>
            <w:tcW w:w="2563" w:type="dxa"/>
            <w:gridSpan w:val="3"/>
            <w:vAlign w:val="center"/>
          </w:tcPr>
          <w:p w14:paraId="708F7B7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7795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Merge w:val="restart"/>
            <w:vAlign w:val="center"/>
          </w:tcPr>
          <w:p w14:paraId="0F4A7BB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联系方式</w:t>
            </w:r>
          </w:p>
        </w:tc>
        <w:tc>
          <w:tcPr>
            <w:tcW w:w="1091" w:type="dxa"/>
            <w:vAlign w:val="center"/>
          </w:tcPr>
          <w:p w14:paraId="3FC5E05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联系人</w:t>
            </w:r>
          </w:p>
        </w:tc>
        <w:tc>
          <w:tcPr>
            <w:tcW w:w="2678" w:type="dxa"/>
            <w:gridSpan w:val="3"/>
            <w:vAlign w:val="center"/>
          </w:tcPr>
          <w:p w14:paraId="6291FA3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339" w:type="dxa"/>
            <w:vAlign w:val="center"/>
          </w:tcPr>
          <w:p w14:paraId="2CA40B3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电  话</w:t>
            </w:r>
          </w:p>
        </w:tc>
        <w:tc>
          <w:tcPr>
            <w:tcW w:w="2563" w:type="dxa"/>
            <w:gridSpan w:val="3"/>
            <w:vAlign w:val="center"/>
          </w:tcPr>
          <w:p w14:paraId="3978B9D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CED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Merge w:val="continue"/>
            <w:vAlign w:val="center"/>
          </w:tcPr>
          <w:p w14:paraId="0F50E23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091" w:type="dxa"/>
            <w:vAlign w:val="center"/>
          </w:tcPr>
          <w:p w14:paraId="4CE85F6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传  真</w:t>
            </w:r>
          </w:p>
        </w:tc>
        <w:tc>
          <w:tcPr>
            <w:tcW w:w="2678" w:type="dxa"/>
            <w:gridSpan w:val="3"/>
            <w:vAlign w:val="center"/>
          </w:tcPr>
          <w:p w14:paraId="1A0DC9D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339" w:type="dxa"/>
            <w:vAlign w:val="center"/>
          </w:tcPr>
          <w:p w14:paraId="2F897E4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网  址</w:t>
            </w:r>
          </w:p>
        </w:tc>
        <w:tc>
          <w:tcPr>
            <w:tcW w:w="2563" w:type="dxa"/>
            <w:gridSpan w:val="3"/>
            <w:vAlign w:val="center"/>
          </w:tcPr>
          <w:p w14:paraId="5C772F4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2820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5DBE39A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组织结构</w:t>
            </w:r>
          </w:p>
        </w:tc>
        <w:tc>
          <w:tcPr>
            <w:tcW w:w="7671" w:type="dxa"/>
            <w:gridSpan w:val="8"/>
            <w:vAlign w:val="center"/>
          </w:tcPr>
          <w:p w14:paraId="461FFDD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327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7D422FB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法定代表人</w:t>
            </w:r>
          </w:p>
        </w:tc>
        <w:tc>
          <w:tcPr>
            <w:tcW w:w="1091" w:type="dxa"/>
            <w:vAlign w:val="center"/>
          </w:tcPr>
          <w:p w14:paraId="2161DC3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姓名</w:t>
            </w:r>
          </w:p>
        </w:tc>
        <w:tc>
          <w:tcPr>
            <w:tcW w:w="1096" w:type="dxa"/>
            <w:vAlign w:val="center"/>
          </w:tcPr>
          <w:p w14:paraId="488D584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371" w:type="dxa"/>
            <w:vAlign w:val="center"/>
          </w:tcPr>
          <w:p w14:paraId="10C066D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技术职称</w:t>
            </w:r>
          </w:p>
        </w:tc>
        <w:tc>
          <w:tcPr>
            <w:tcW w:w="1827" w:type="dxa"/>
            <w:gridSpan w:val="3"/>
            <w:vAlign w:val="center"/>
          </w:tcPr>
          <w:p w14:paraId="48A49DA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61" w:type="dxa"/>
            <w:vAlign w:val="center"/>
          </w:tcPr>
          <w:p w14:paraId="5599859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电话</w:t>
            </w:r>
          </w:p>
        </w:tc>
        <w:tc>
          <w:tcPr>
            <w:tcW w:w="1525" w:type="dxa"/>
            <w:vAlign w:val="center"/>
          </w:tcPr>
          <w:p w14:paraId="21CD4A8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083C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127771A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技术负责人</w:t>
            </w:r>
          </w:p>
        </w:tc>
        <w:tc>
          <w:tcPr>
            <w:tcW w:w="1091" w:type="dxa"/>
            <w:vAlign w:val="center"/>
          </w:tcPr>
          <w:p w14:paraId="09A3A30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姓名</w:t>
            </w:r>
          </w:p>
        </w:tc>
        <w:tc>
          <w:tcPr>
            <w:tcW w:w="1096" w:type="dxa"/>
            <w:vAlign w:val="center"/>
          </w:tcPr>
          <w:p w14:paraId="1EB35AA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371" w:type="dxa"/>
            <w:vAlign w:val="center"/>
          </w:tcPr>
          <w:p w14:paraId="0471CCE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技术职称</w:t>
            </w:r>
          </w:p>
        </w:tc>
        <w:tc>
          <w:tcPr>
            <w:tcW w:w="1827" w:type="dxa"/>
            <w:gridSpan w:val="3"/>
            <w:vAlign w:val="center"/>
          </w:tcPr>
          <w:p w14:paraId="7992049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61" w:type="dxa"/>
            <w:vAlign w:val="center"/>
          </w:tcPr>
          <w:p w14:paraId="3AF511C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电话</w:t>
            </w:r>
          </w:p>
        </w:tc>
        <w:tc>
          <w:tcPr>
            <w:tcW w:w="1525" w:type="dxa"/>
            <w:vAlign w:val="center"/>
          </w:tcPr>
          <w:p w14:paraId="0E66C63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44D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3B12022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成立时间</w:t>
            </w:r>
          </w:p>
        </w:tc>
        <w:tc>
          <w:tcPr>
            <w:tcW w:w="2187" w:type="dxa"/>
            <w:gridSpan w:val="2"/>
            <w:vAlign w:val="center"/>
          </w:tcPr>
          <w:p w14:paraId="3F7F07B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5484" w:type="dxa"/>
            <w:gridSpan w:val="6"/>
            <w:vAlign w:val="center"/>
          </w:tcPr>
          <w:p w14:paraId="001A703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员工总人数：</w:t>
            </w:r>
          </w:p>
        </w:tc>
      </w:tr>
      <w:tr w14:paraId="06D8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594DA2E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资质等级</w:t>
            </w:r>
          </w:p>
        </w:tc>
        <w:tc>
          <w:tcPr>
            <w:tcW w:w="7671" w:type="dxa"/>
            <w:gridSpan w:val="8"/>
            <w:vAlign w:val="center"/>
          </w:tcPr>
          <w:p w14:paraId="3F5A059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F2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15875DB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营业执照号</w:t>
            </w:r>
          </w:p>
        </w:tc>
        <w:tc>
          <w:tcPr>
            <w:tcW w:w="7671" w:type="dxa"/>
            <w:gridSpan w:val="8"/>
            <w:vAlign w:val="center"/>
          </w:tcPr>
          <w:p w14:paraId="535D1AF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329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53861F2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注册资金</w:t>
            </w:r>
          </w:p>
        </w:tc>
        <w:tc>
          <w:tcPr>
            <w:tcW w:w="7671" w:type="dxa"/>
            <w:gridSpan w:val="8"/>
            <w:vAlign w:val="center"/>
          </w:tcPr>
          <w:p w14:paraId="3738BC7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243E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435AB18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开户银行</w:t>
            </w:r>
          </w:p>
        </w:tc>
        <w:tc>
          <w:tcPr>
            <w:tcW w:w="7671" w:type="dxa"/>
            <w:gridSpan w:val="8"/>
            <w:vAlign w:val="center"/>
          </w:tcPr>
          <w:p w14:paraId="6FF3B0A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6C3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68" w:type="dxa"/>
            <w:vAlign w:val="center"/>
          </w:tcPr>
          <w:p w14:paraId="03F645A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账号</w:t>
            </w:r>
          </w:p>
        </w:tc>
        <w:tc>
          <w:tcPr>
            <w:tcW w:w="7671" w:type="dxa"/>
            <w:gridSpan w:val="8"/>
            <w:vAlign w:val="center"/>
          </w:tcPr>
          <w:p w14:paraId="4C8B487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4CC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68" w:type="dxa"/>
            <w:vAlign w:val="center"/>
          </w:tcPr>
          <w:p w14:paraId="218A188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经营范围</w:t>
            </w:r>
          </w:p>
        </w:tc>
        <w:tc>
          <w:tcPr>
            <w:tcW w:w="7671" w:type="dxa"/>
            <w:gridSpan w:val="8"/>
            <w:vAlign w:val="center"/>
          </w:tcPr>
          <w:p w14:paraId="6B6D460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A65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68" w:type="dxa"/>
            <w:vAlign w:val="center"/>
          </w:tcPr>
          <w:p w14:paraId="15E218E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备注</w:t>
            </w:r>
          </w:p>
        </w:tc>
        <w:tc>
          <w:tcPr>
            <w:tcW w:w="7671" w:type="dxa"/>
            <w:gridSpan w:val="8"/>
            <w:vAlign w:val="center"/>
          </w:tcPr>
          <w:p w14:paraId="29D9989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bl>
    <w:p w14:paraId="15987793">
      <w:pPr>
        <w:spacing w:line="440" w:lineRule="exact"/>
        <w:rPr>
          <w:rFonts w:ascii="宋体" w:hAnsi="宋体" w:cs="宋体"/>
          <w:color w:val="auto"/>
          <w:sz w:val="24"/>
          <w:highlight w:val="none"/>
        </w:rPr>
      </w:pPr>
    </w:p>
    <w:p w14:paraId="0E894600">
      <w:pPr>
        <w:rPr>
          <w:rFonts w:hint="eastAsia" w:ascii="宋体" w:hAnsi="宋体" w:cs="宋体"/>
          <w:b/>
          <w:bCs/>
          <w:color w:val="auto"/>
          <w:sz w:val="24"/>
          <w:highlight w:val="none"/>
        </w:rPr>
      </w:pPr>
      <w:bookmarkStart w:id="1187" w:name="_Toc475624460"/>
      <w:bookmarkStart w:id="1188" w:name="_Toc490667902"/>
      <w:bookmarkStart w:id="1189" w:name="_Toc475341818"/>
      <w:bookmarkStart w:id="1190" w:name="_Toc5911"/>
      <w:bookmarkStart w:id="1191" w:name="_Toc10980"/>
      <w:bookmarkStart w:id="1192" w:name="_Toc1958"/>
      <w:bookmarkStart w:id="1193" w:name="_Toc19668"/>
      <w:bookmarkStart w:id="1194" w:name="_Toc3737"/>
      <w:bookmarkStart w:id="1195" w:name="_Toc30125"/>
      <w:bookmarkStart w:id="1196" w:name="_Toc26876"/>
      <w:bookmarkStart w:id="1197" w:name="_Toc3527"/>
      <w:r>
        <w:rPr>
          <w:rFonts w:hint="eastAsia" w:ascii="宋体" w:hAnsi="宋体" w:cs="宋体"/>
          <w:b/>
          <w:bCs/>
          <w:color w:val="auto"/>
          <w:sz w:val="24"/>
          <w:highlight w:val="none"/>
        </w:rPr>
        <w:br w:type="page"/>
      </w:r>
    </w:p>
    <w:p w14:paraId="4F6D961B">
      <w:pPr>
        <w:spacing w:line="440" w:lineRule="exact"/>
        <w:jc w:val="center"/>
        <w:outlineLvl w:val="1"/>
        <w:rPr>
          <w:rFonts w:ascii="宋体" w:hAnsi="宋体" w:cs="宋体"/>
          <w:b/>
          <w:bCs/>
          <w:color w:val="auto"/>
          <w:sz w:val="24"/>
          <w:highlight w:val="none"/>
        </w:rPr>
      </w:pPr>
      <w:r>
        <w:rPr>
          <w:rFonts w:hint="eastAsia" w:ascii="宋体" w:hAnsi="宋体" w:cs="宋体"/>
          <w:b/>
          <w:bCs/>
          <w:color w:val="auto"/>
          <w:sz w:val="24"/>
          <w:highlight w:val="none"/>
        </w:rPr>
        <w:t>（二）</w:t>
      </w:r>
      <w:bookmarkEnd w:id="1187"/>
      <w:bookmarkEnd w:id="1188"/>
      <w:bookmarkEnd w:id="1189"/>
      <w:bookmarkEnd w:id="1190"/>
      <w:r>
        <w:rPr>
          <w:rFonts w:hint="eastAsia" w:ascii="宋体" w:hAnsi="宋体" w:cs="宋体"/>
          <w:b/>
          <w:bCs/>
          <w:color w:val="auto"/>
          <w:sz w:val="24"/>
          <w:highlight w:val="none"/>
        </w:rPr>
        <w:t>审查资料</w:t>
      </w:r>
      <w:bookmarkEnd w:id="1191"/>
      <w:bookmarkEnd w:id="1192"/>
      <w:bookmarkEnd w:id="1193"/>
      <w:bookmarkEnd w:id="1194"/>
      <w:bookmarkEnd w:id="1195"/>
      <w:bookmarkEnd w:id="1196"/>
      <w:bookmarkEnd w:id="1197"/>
    </w:p>
    <w:p w14:paraId="01C484C7">
      <w:pPr>
        <w:rPr>
          <w:rFonts w:hint="eastAsia" w:ascii="宋体" w:hAnsi="宋体" w:cs="宋体"/>
          <w:b/>
          <w:bCs/>
          <w:color w:val="auto"/>
          <w:highlight w:val="none"/>
        </w:rPr>
      </w:pPr>
      <w:bookmarkStart w:id="1198" w:name="_Toc31640"/>
      <w:bookmarkStart w:id="1199" w:name="_Toc29592"/>
      <w:bookmarkStart w:id="1200" w:name="_Toc15610"/>
      <w:r>
        <w:rPr>
          <w:rFonts w:hint="eastAsia" w:ascii="宋体" w:hAnsi="宋体" w:cs="宋体"/>
          <w:b/>
          <w:bCs/>
          <w:color w:val="auto"/>
          <w:highlight w:val="none"/>
        </w:rPr>
        <w:t>包括但不限于：</w:t>
      </w:r>
      <w:bookmarkEnd w:id="1198"/>
      <w:bookmarkEnd w:id="1199"/>
      <w:bookmarkEnd w:id="1200"/>
    </w:p>
    <w:p w14:paraId="6FC2647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1.供应商须符合《中华人民共和国政府采购法》第二十二条规定：</w:t>
      </w:r>
    </w:p>
    <w:p w14:paraId="19DF6BA4">
      <w:pPr>
        <w:keepNext w:val="0"/>
        <w:keepLines w:val="0"/>
        <w:pageBreakBefore w:val="0"/>
        <w:widowControl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1.1具有独立承担民事责任能力的法人或其他组织（具有有效的营业执照</w:t>
      </w:r>
      <w:r>
        <w:rPr>
          <w:rFonts w:hint="eastAsia" w:ascii="宋体" w:hAnsi="宋体" w:cs="宋体"/>
          <w:color w:val="auto"/>
          <w:sz w:val="21"/>
          <w:szCs w:val="21"/>
          <w:highlight w:val="none"/>
          <w:lang w:val="en-US" w:eastAsia="zh-CN"/>
        </w:rPr>
        <w:t>或其他</w:t>
      </w:r>
      <w:r>
        <w:rPr>
          <w:rFonts w:hint="eastAsia" w:ascii="宋体" w:hAnsi="宋体" w:cs="宋体"/>
          <w:color w:val="auto"/>
          <w:sz w:val="21"/>
          <w:szCs w:val="21"/>
          <w:highlight w:val="none"/>
          <w:lang w:val="en-US" w:eastAsia="zh"/>
          <w:woUserID w:val="1"/>
        </w:rPr>
        <w:t>组织</w:t>
      </w:r>
      <w:r>
        <w:rPr>
          <w:rFonts w:hint="eastAsia" w:ascii="宋体" w:hAnsi="宋体" w:cs="宋体"/>
          <w:color w:val="auto"/>
          <w:sz w:val="21"/>
          <w:szCs w:val="21"/>
          <w:highlight w:val="none"/>
          <w:lang w:val="en-US" w:eastAsia="zh-CN"/>
        </w:rPr>
        <w:t>证明</w:t>
      </w:r>
      <w:r>
        <w:rPr>
          <w:rFonts w:hint="eastAsia" w:ascii="宋体" w:hAnsi="宋体" w:eastAsia="宋体" w:cs="宋体"/>
          <w:color w:val="auto"/>
          <w:sz w:val="21"/>
          <w:szCs w:val="21"/>
          <w:highlight w:val="none"/>
        </w:rPr>
        <w:t>）；</w:t>
      </w:r>
    </w:p>
    <w:p w14:paraId="285468F5">
      <w:pPr>
        <w:keepNext w:val="0"/>
        <w:keepLines w:val="0"/>
        <w:pageBreakBefore w:val="0"/>
        <w:widowControl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1.2具有良好的商业信誉和健全的财务会计制度（提供202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年度的审计报告，成立不足一年的须提供银行出具的企业资信证明）；</w:t>
      </w:r>
    </w:p>
    <w:p w14:paraId="4EC34F84">
      <w:pPr>
        <w:keepNext w:val="0"/>
        <w:keepLines w:val="0"/>
        <w:pageBreakBefore w:val="0"/>
        <w:widowControl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1.3具有履行合同所必需的设备和专业技术能力（自行承诺，格式</w:t>
      </w:r>
      <w:r>
        <w:rPr>
          <w:rFonts w:hint="eastAsia" w:ascii="宋体" w:hAnsi="宋体" w:cs="宋体"/>
          <w:color w:val="auto"/>
          <w:sz w:val="21"/>
          <w:szCs w:val="21"/>
          <w:highlight w:val="none"/>
          <w:lang w:eastAsia="zh-CN"/>
        </w:rPr>
        <w:t>后附</w:t>
      </w:r>
      <w:r>
        <w:rPr>
          <w:rFonts w:hint="eastAsia" w:ascii="宋体" w:hAnsi="宋体" w:eastAsia="宋体" w:cs="宋体"/>
          <w:color w:val="auto"/>
          <w:sz w:val="21"/>
          <w:szCs w:val="21"/>
          <w:highlight w:val="none"/>
        </w:rPr>
        <w:t>）；</w:t>
      </w:r>
    </w:p>
    <w:p w14:paraId="13F71165">
      <w:pPr>
        <w:keepNext w:val="0"/>
        <w:keepLines w:val="0"/>
        <w:pageBreakBefore w:val="0"/>
        <w:widowControl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1.4有依法缴纳税收和社会保障资金的良好记录（202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年1月1日以来任意</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个月</w:t>
      </w:r>
      <w:r>
        <w:rPr>
          <w:rFonts w:hint="eastAsia"/>
          <w:color w:val="auto"/>
          <w:highlight w:val="none"/>
          <w:lang w:eastAsia="zh"/>
          <w:woUserID w:val="1"/>
        </w:rPr>
        <w:t>（不含开启当月）</w:t>
      </w:r>
      <w:r>
        <w:rPr>
          <w:rFonts w:hint="eastAsia" w:ascii="宋体" w:hAnsi="宋体" w:eastAsia="宋体" w:cs="宋体"/>
          <w:color w:val="auto"/>
          <w:sz w:val="21"/>
          <w:szCs w:val="21"/>
          <w:highlight w:val="none"/>
        </w:rPr>
        <w:t>的纳税和社保证明；依法免税或不需要缴纳社保的，须出具有效的证明文件）；</w:t>
      </w:r>
    </w:p>
    <w:p w14:paraId="741D07FC">
      <w:pPr>
        <w:keepNext w:val="0"/>
        <w:keepLines w:val="0"/>
        <w:pageBreakBefore w:val="0"/>
        <w:widowControl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1.5参加本次采购活动前三年内，在经营活动中没有重大违法记录（自行承诺，格式</w:t>
      </w:r>
      <w:r>
        <w:rPr>
          <w:rFonts w:hint="eastAsia" w:ascii="宋体" w:hAnsi="宋体" w:cs="宋体"/>
          <w:color w:val="auto"/>
          <w:sz w:val="21"/>
          <w:szCs w:val="21"/>
          <w:highlight w:val="none"/>
          <w:lang w:eastAsia="zh-CN"/>
        </w:rPr>
        <w:t>后附</w:t>
      </w:r>
      <w:r>
        <w:rPr>
          <w:rFonts w:hint="eastAsia" w:ascii="宋体" w:hAnsi="宋体" w:eastAsia="宋体" w:cs="宋体"/>
          <w:color w:val="auto"/>
          <w:sz w:val="21"/>
          <w:szCs w:val="21"/>
          <w:highlight w:val="none"/>
        </w:rPr>
        <w:t>）；</w:t>
      </w:r>
    </w:p>
    <w:p w14:paraId="6B4D83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
          <w:woUserID w:val="1"/>
        </w:rPr>
        <w:t>1.6法律、行政法规规定的其他条件；</w:t>
      </w:r>
      <w:r>
        <w:rPr>
          <w:rFonts w:hint="eastAsia" w:ascii="宋体" w:hAnsi="宋体" w:eastAsia="宋体" w:cs="宋体"/>
          <w:color w:val="auto"/>
          <w:kern w:val="2"/>
          <w:sz w:val="21"/>
          <w:szCs w:val="21"/>
          <w:highlight w:val="none"/>
          <w:lang w:val="en-US" w:eastAsia="zh" w:bidi="ar"/>
          <w:woUserID w:val="1"/>
        </w:rPr>
        <w:t>（自行承诺，格式后附）</w:t>
      </w:r>
    </w:p>
    <w:p w14:paraId="5E0832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2.落实政府采购政策满足的资格要求：无。</w:t>
      </w:r>
    </w:p>
    <w:p w14:paraId="6D1B60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3.本项目的特定资格要求：</w:t>
      </w:r>
    </w:p>
    <w:p w14:paraId="50663AD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val="en-US" w:eastAsia="zh-CN"/>
        </w:rPr>
      </w:pPr>
      <w:r>
        <w:rPr>
          <w:rFonts w:hint="eastAsia" w:eastAsia="宋体"/>
          <w:color w:val="auto"/>
          <w:highlight w:val="none"/>
          <w:lang w:eastAsia="zh-CN"/>
        </w:rPr>
        <w:t>3.1</w:t>
      </w:r>
      <w:r>
        <w:rPr>
          <w:rFonts w:hint="eastAsia"/>
          <w:color w:val="auto"/>
          <w:highlight w:val="none"/>
          <w:lang w:eastAsia="zh-CN"/>
        </w:rPr>
        <w:t>资质</w:t>
      </w:r>
      <w:r>
        <w:rPr>
          <w:rFonts w:hint="eastAsia" w:eastAsia="宋体"/>
          <w:color w:val="auto"/>
          <w:highlight w:val="none"/>
          <w:lang w:eastAsia="zh-CN"/>
        </w:rPr>
        <w:t>要求</w:t>
      </w:r>
      <w:r>
        <w:rPr>
          <w:rFonts w:hint="eastAsia" w:eastAsia="宋体"/>
          <w:color w:val="auto"/>
          <w:highlight w:val="none"/>
          <w:lang w:val="en-US" w:eastAsia="zh-CN"/>
        </w:rPr>
        <w:t xml:space="preserve">  </w:t>
      </w:r>
    </w:p>
    <w:p w14:paraId="3565362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3.1.</w:t>
      </w:r>
      <w:r>
        <w:rPr>
          <w:rFonts w:hint="eastAsia"/>
          <w:color w:val="auto"/>
          <w:highlight w:val="none"/>
          <w:lang w:eastAsia="zh"/>
          <w:woUserID w:val="1"/>
        </w:rPr>
        <w:t>1</w:t>
      </w:r>
      <w:r>
        <w:rPr>
          <w:rFonts w:hint="eastAsia" w:eastAsia="宋体"/>
          <w:color w:val="auto"/>
          <w:highlight w:val="none"/>
          <w:lang w:eastAsia="zh-CN"/>
        </w:rPr>
        <w:t xml:space="preserve"> 设计资质：</w:t>
      </w:r>
    </w:p>
    <w:p w14:paraId="6E990E4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①</w:t>
      </w:r>
      <w:r>
        <w:rPr>
          <w:rFonts w:hint="eastAsia"/>
          <w:color w:val="auto"/>
          <w:highlight w:val="none"/>
          <w:lang w:eastAsia="zh-CN"/>
        </w:rPr>
        <w:t>供应商</w:t>
      </w:r>
      <w:r>
        <w:rPr>
          <w:rFonts w:hint="eastAsia" w:eastAsia="宋体"/>
          <w:color w:val="auto"/>
          <w:highlight w:val="none"/>
          <w:lang w:eastAsia="zh-CN"/>
        </w:rPr>
        <w:t>应具有综合设计甲级资质或工程设计电子通信广电行业（电子工程）乙级</w:t>
      </w:r>
      <w:r>
        <w:rPr>
          <w:rFonts w:hint="eastAsia"/>
          <w:color w:val="auto"/>
          <w:highlight w:val="none"/>
          <w:lang w:eastAsia="zh"/>
          <w:woUserID w:val="1"/>
        </w:rPr>
        <w:t>及</w:t>
      </w:r>
      <w:r>
        <w:rPr>
          <w:rFonts w:hint="eastAsia" w:eastAsia="宋体"/>
          <w:color w:val="auto"/>
          <w:highlight w:val="none"/>
          <w:lang w:eastAsia="zh-CN"/>
        </w:rPr>
        <w:t>以上资质或市场行政主管部门特种设备设计许可证（压力管道）GC2</w:t>
      </w:r>
      <w:r>
        <w:rPr>
          <w:rFonts w:hint="eastAsia"/>
          <w:color w:val="auto"/>
          <w:highlight w:val="none"/>
          <w:lang w:eastAsia="zh"/>
          <w:woUserID w:val="3"/>
        </w:rPr>
        <w:t>及以上级别</w:t>
      </w:r>
      <w:r>
        <w:rPr>
          <w:rFonts w:hint="eastAsia" w:eastAsia="宋体"/>
          <w:color w:val="auto"/>
          <w:highlight w:val="none"/>
          <w:lang w:eastAsia="zh-CN"/>
        </w:rPr>
        <w:t>。</w:t>
      </w:r>
    </w:p>
    <w:p w14:paraId="1ADCD2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3.1.</w:t>
      </w:r>
      <w:r>
        <w:rPr>
          <w:rFonts w:hint="eastAsia"/>
          <w:color w:val="auto"/>
          <w:highlight w:val="none"/>
          <w:lang w:eastAsia="zh"/>
          <w:woUserID w:val="1"/>
        </w:rPr>
        <w:t>2</w:t>
      </w:r>
      <w:r>
        <w:rPr>
          <w:rFonts w:hint="eastAsia" w:eastAsia="宋体"/>
          <w:color w:val="auto"/>
          <w:highlight w:val="none"/>
          <w:lang w:eastAsia="zh-CN"/>
        </w:rPr>
        <w:t xml:space="preserve"> 施工资质：</w:t>
      </w:r>
    </w:p>
    <w:p w14:paraId="6C9E7B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①</w:t>
      </w:r>
      <w:r>
        <w:rPr>
          <w:rFonts w:hint="eastAsia"/>
          <w:color w:val="auto"/>
          <w:highlight w:val="none"/>
          <w:lang w:eastAsia="zh-CN"/>
        </w:rPr>
        <w:t>供应商</w:t>
      </w:r>
      <w:r>
        <w:rPr>
          <w:rFonts w:hint="eastAsia" w:eastAsia="宋体"/>
          <w:color w:val="auto"/>
          <w:highlight w:val="none"/>
          <w:lang w:eastAsia="zh-CN"/>
        </w:rPr>
        <w:t>应具有建设行政主管部门颁发的建筑机电安装工程专业承包二级及以上资质，且具有有效的安全生产许可证。</w:t>
      </w:r>
    </w:p>
    <w:p w14:paraId="7760337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②</w:t>
      </w:r>
      <w:r>
        <w:rPr>
          <w:rFonts w:hint="eastAsia"/>
          <w:color w:val="auto"/>
          <w:highlight w:val="none"/>
          <w:lang w:eastAsia="zh-CN"/>
        </w:rPr>
        <w:t>供应商</w:t>
      </w:r>
      <w:r>
        <w:rPr>
          <w:rFonts w:hint="eastAsia" w:eastAsia="宋体"/>
          <w:color w:val="auto"/>
          <w:highlight w:val="none"/>
          <w:lang w:eastAsia="zh-CN"/>
        </w:rPr>
        <w:t>应同时具有市场行政主管部门特种设备安装改造维修许可证（压力管道）GC</w:t>
      </w:r>
      <w:r>
        <w:rPr>
          <w:rFonts w:hint="eastAsia" w:eastAsia="宋体"/>
          <w:color w:val="auto"/>
          <w:highlight w:val="none"/>
          <w:lang w:eastAsia="zh"/>
        </w:rPr>
        <w:t>2</w:t>
      </w:r>
      <w:r>
        <w:rPr>
          <w:rFonts w:hint="eastAsia"/>
          <w:color w:val="auto"/>
          <w:highlight w:val="none"/>
          <w:lang w:eastAsia="zh"/>
          <w:woUserID w:val="3"/>
        </w:rPr>
        <w:t>及以上级别</w:t>
      </w:r>
      <w:r>
        <w:rPr>
          <w:rFonts w:hint="eastAsia" w:eastAsia="宋体"/>
          <w:color w:val="auto"/>
          <w:highlight w:val="none"/>
          <w:lang w:eastAsia="zh-CN"/>
        </w:rPr>
        <w:t>。</w:t>
      </w:r>
    </w:p>
    <w:p w14:paraId="4EB2BD2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备注：根据《住房城乡建设部关于进一步加强建设工程企业资质审批管理工作的通知》（建市规〔2023〕3号）和《河南省住房和城乡建设厅关于进一步规范建设工程企业资质管理的通知》豫建行规〔2024〕7号文件规定，河南省企业被全国和河南省建筑市场监管公共服务平台标注为资质异常的，不能使用标注异常资质承揽本工程，提供全国和河南省建筑市场监管公共服务平台查询截图；外省企业被全国建筑市场监管公共服务平台标注为资质异常的，不能使用标注异常资质承揽本工程，至少提供全国建筑市场监管公共服务平台查询截图。</w:t>
      </w:r>
    </w:p>
    <w:p w14:paraId="39AEBC2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2</w:t>
      </w:r>
      <w:r>
        <w:rPr>
          <w:rFonts w:hint="eastAsia" w:eastAsia="宋体"/>
          <w:color w:val="auto"/>
          <w:highlight w:val="none"/>
          <w:lang w:eastAsia="zh-CN"/>
        </w:rPr>
        <w:t>人员要求：</w:t>
      </w:r>
    </w:p>
    <w:p w14:paraId="1533283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2</w:t>
      </w:r>
      <w:r>
        <w:rPr>
          <w:rFonts w:hint="eastAsia" w:eastAsia="宋体"/>
          <w:color w:val="auto"/>
          <w:highlight w:val="none"/>
          <w:lang w:eastAsia="zh-CN"/>
        </w:rPr>
        <w:t>.1 拟派设计负责人</w:t>
      </w:r>
    </w:p>
    <w:p w14:paraId="0858675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rPr>
      </w:pPr>
      <w:r>
        <w:rPr>
          <w:rFonts w:hint="eastAsia" w:eastAsia="宋体"/>
          <w:color w:val="auto"/>
          <w:highlight w:val="none"/>
          <w:lang w:eastAsia="zh-CN"/>
        </w:rPr>
        <w:t xml:space="preserve">① </w:t>
      </w:r>
      <w:r>
        <w:rPr>
          <w:rFonts w:hint="eastAsia"/>
          <w:color w:val="auto"/>
          <w:highlight w:val="none"/>
          <w:lang w:eastAsia="zh-CN"/>
        </w:rPr>
        <w:t>供应商</w:t>
      </w:r>
      <w:r>
        <w:rPr>
          <w:rFonts w:hint="eastAsia" w:eastAsia="宋体"/>
          <w:color w:val="auto"/>
          <w:highlight w:val="none"/>
          <w:lang w:eastAsia="zh-CN"/>
        </w:rPr>
        <w:t>拟派设计负责人须具有相关专业副高级及以上职称</w:t>
      </w:r>
    </w:p>
    <w:p w14:paraId="2DFD98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② 拟派设计负责人应为</w:t>
      </w:r>
      <w:r>
        <w:rPr>
          <w:rFonts w:hint="eastAsia"/>
          <w:color w:val="auto"/>
          <w:highlight w:val="none"/>
          <w:lang w:eastAsia="zh-CN"/>
        </w:rPr>
        <w:t>供应商</w:t>
      </w:r>
      <w:r>
        <w:rPr>
          <w:rFonts w:hint="eastAsia" w:eastAsia="宋体"/>
          <w:color w:val="auto"/>
          <w:highlight w:val="none"/>
          <w:lang w:eastAsia="zh-CN"/>
        </w:rPr>
        <w:t>在职正式员工，具有本单位（或其不具备独立法人资格的分支机构）为其缴纳的</w:t>
      </w:r>
      <w:r>
        <w:rPr>
          <w:rFonts w:hint="eastAsia"/>
          <w:color w:val="auto"/>
          <w:highlight w:val="none"/>
          <w:lang w:eastAsia="zh-CN"/>
        </w:rPr>
        <w:t>响应文件开启</w:t>
      </w:r>
      <w:r>
        <w:rPr>
          <w:rFonts w:hint="eastAsia" w:eastAsia="宋体"/>
          <w:color w:val="auto"/>
          <w:highlight w:val="none"/>
          <w:lang w:eastAsia="zh-CN"/>
        </w:rPr>
        <w:t>前半年内连续3个月</w:t>
      </w:r>
      <w:r>
        <w:rPr>
          <w:rFonts w:hint="eastAsia"/>
          <w:color w:val="auto"/>
          <w:highlight w:val="none"/>
          <w:lang w:eastAsia="zh"/>
          <w:woUserID w:val="1"/>
        </w:rPr>
        <w:t>（不含开启当月）</w:t>
      </w:r>
      <w:r>
        <w:rPr>
          <w:rFonts w:hint="eastAsia" w:eastAsia="宋体"/>
          <w:color w:val="auto"/>
          <w:highlight w:val="none"/>
          <w:lang w:eastAsia="zh-CN"/>
        </w:rPr>
        <w:t>的社保证明材料的扫描件。</w:t>
      </w:r>
    </w:p>
    <w:p w14:paraId="1B653E7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2</w:t>
      </w:r>
      <w:r>
        <w:rPr>
          <w:rFonts w:hint="eastAsia" w:eastAsia="宋体"/>
          <w:color w:val="auto"/>
          <w:highlight w:val="none"/>
          <w:lang w:eastAsia="zh-CN"/>
        </w:rPr>
        <w:t>.2 拟派项目经理</w:t>
      </w:r>
    </w:p>
    <w:p w14:paraId="584CE05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① 拟派项目经理具备机电工程或建筑工程专业二级</w:t>
      </w:r>
      <w:r>
        <w:rPr>
          <w:rFonts w:hint="eastAsia" w:eastAsia="宋体"/>
          <w:color w:val="auto"/>
          <w:highlight w:val="none"/>
          <w:lang w:eastAsia="zh"/>
        </w:rPr>
        <w:t>及以上</w:t>
      </w:r>
      <w:r>
        <w:rPr>
          <w:rFonts w:hint="eastAsia" w:eastAsia="宋体"/>
          <w:color w:val="auto"/>
          <w:highlight w:val="none"/>
          <w:lang w:eastAsia="zh-CN"/>
        </w:rPr>
        <w:t>注册建造师证书，具有有效的安全生产考核合格证（B证），且没有正在施工的工程项目（无在建项目须提供承诺书</w:t>
      </w:r>
      <w:r>
        <w:rPr>
          <w:rFonts w:hint="eastAsia"/>
          <w:color w:val="auto"/>
          <w:highlight w:val="none"/>
          <w:lang w:eastAsia="zh-CN"/>
        </w:rPr>
        <w:t>，格式后附</w:t>
      </w:r>
      <w:r>
        <w:rPr>
          <w:rFonts w:hint="eastAsia" w:eastAsia="宋体"/>
          <w:color w:val="auto"/>
          <w:highlight w:val="none"/>
          <w:lang w:eastAsia="zh-CN"/>
        </w:rPr>
        <w:t>）；</w:t>
      </w:r>
    </w:p>
    <w:p w14:paraId="14198B2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② 拟派项目经理应为</w:t>
      </w:r>
      <w:r>
        <w:rPr>
          <w:rFonts w:hint="eastAsia"/>
          <w:color w:val="auto"/>
          <w:highlight w:val="none"/>
          <w:lang w:eastAsia="zh-CN"/>
        </w:rPr>
        <w:t>供应商</w:t>
      </w:r>
      <w:r>
        <w:rPr>
          <w:rFonts w:hint="eastAsia" w:eastAsia="宋体"/>
          <w:color w:val="auto"/>
          <w:highlight w:val="none"/>
          <w:lang w:eastAsia="zh-CN"/>
        </w:rPr>
        <w:t>在职正式员工，具有本单位（或其不具备独立法人资格的分支机构）为其缴纳的</w:t>
      </w:r>
      <w:r>
        <w:rPr>
          <w:rFonts w:hint="eastAsia"/>
          <w:color w:val="auto"/>
          <w:highlight w:val="none"/>
          <w:lang w:eastAsia="zh-CN"/>
        </w:rPr>
        <w:t>响应文件开启</w:t>
      </w:r>
      <w:r>
        <w:rPr>
          <w:rFonts w:hint="eastAsia" w:eastAsia="宋体"/>
          <w:color w:val="auto"/>
          <w:highlight w:val="none"/>
          <w:lang w:eastAsia="zh-CN"/>
        </w:rPr>
        <w:t>前半年内连续3个月</w:t>
      </w:r>
      <w:r>
        <w:rPr>
          <w:rFonts w:hint="eastAsia"/>
          <w:color w:val="auto"/>
          <w:highlight w:val="none"/>
          <w:lang w:eastAsia="zh"/>
          <w:woUserID w:val="1"/>
        </w:rPr>
        <w:t>（不含开启当月）</w:t>
      </w:r>
      <w:r>
        <w:rPr>
          <w:rFonts w:hint="eastAsia" w:eastAsia="宋体"/>
          <w:color w:val="auto"/>
          <w:highlight w:val="none"/>
          <w:lang w:eastAsia="zh-CN"/>
        </w:rPr>
        <w:t>的社保证明材料的扫描件。</w:t>
      </w:r>
    </w:p>
    <w:p w14:paraId="3358F51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3</w:t>
      </w:r>
      <w:r>
        <w:rPr>
          <w:rFonts w:hint="eastAsia" w:eastAsia="宋体"/>
          <w:color w:val="auto"/>
          <w:highlight w:val="none"/>
          <w:lang w:eastAsia="zh-CN"/>
        </w:rPr>
        <w:t>供应商在“信用中国”网站（www.creditchina.gov.cn）未被列入失信被执行人、重大税收违法失信主体；在“中国政府采购网”网站（www.ccgp.gov.cn）未被列入政府采购严重违法失信行为记录名单；</w:t>
      </w:r>
      <w:r>
        <w:rPr>
          <w:rFonts w:hint="eastAsia" w:asciiTheme="minorEastAsia" w:hAnsiTheme="minorEastAsia" w:eastAsiaTheme="minorEastAsia" w:cstheme="minorEastAsia"/>
          <w:color w:val="auto"/>
          <w:sz w:val="21"/>
          <w:szCs w:val="21"/>
          <w:highlight w:val="none"/>
          <w:lang w:eastAsia="zh-CN"/>
        </w:rPr>
        <w:t>（执行</w:t>
      </w:r>
      <w:r>
        <w:rPr>
          <w:rFonts w:hint="eastAsia" w:asciiTheme="minorEastAsia" w:hAnsiTheme="minorEastAsia" w:eastAsiaTheme="minorEastAsia" w:cstheme="minorEastAsia"/>
          <w:color w:val="auto"/>
          <w:sz w:val="21"/>
          <w:szCs w:val="21"/>
          <w:highlight w:val="none"/>
          <w:lang w:val="en-US" w:eastAsia="zh-CN"/>
        </w:rPr>
        <w:t>财库〔2016〕125号相关规定，</w:t>
      </w:r>
      <w:r>
        <w:rPr>
          <w:rFonts w:hint="eastAsia" w:asciiTheme="minorEastAsia" w:hAnsiTheme="minorEastAsia" w:eastAsiaTheme="minorEastAsia" w:cstheme="minorEastAsia"/>
          <w:color w:val="auto"/>
          <w:sz w:val="21"/>
          <w:szCs w:val="21"/>
          <w:highlight w:val="none"/>
          <w:lang w:eastAsia="zh-CN"/>
        </w:rPr>
        <w:t>以代理机构查询为准）</w:t>
      </w:r>
    </w:p>
    <w:p w14:paraId="7FBB82F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4</w:t>
      </w:r>
      <w:r>
        <w:rPr>
          <w:rFonts w:hint="eastAsia" w:eastAsia="宋体"/>
          <w:color w:val="auto"/>
          <w:highlight w:val="none"/>
          <w:lang w:eastAsia="zh-CN"/>
        </w:rPr>
        <w:t>供应商与采购人、采购人就本次采购的项目委托的咨询机构、采购代理机构、以及上述机构的附属机构没有行政或经济关联；</w:t>
      </w:r>
      <w:r>
        <w:rPr>
          <w:rFonts w:hint="eastAsia" w:ascii="宋体" w:hAnsi="宋体" w:cs="宋体"/>
          <w:color w:val="auto"/>
          <w:szCs w:val="21"/>
          <w:highlight w:val="none"/>
          <w:lang w:val="en-US" w:eastAsia="zh-CN"/>
        </w:rPr>
        <w:t>（提供承诺，格式后附）</w:t>
      </w:r>
    </w:p>
    <w:p w14:paraId="6CA5885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5</w:t>
      </w:r>
      <w:r>
        <w:rPr>
          <w:rFonts w:hint="eastAsia" w:eastAsia="宋体"/>
          <w:color w:val="auto"/>
          <w:highlight w:val="none"/>
          <w:lang w:eastAsia="zh-CN"/>
        </w:rPr>
        <w:t>为采购项目提供整体设计、规范编制或者项目管理、监理、检测等服务的供应商，不得再参加该采购项目的其他采购活动；</w:t>
      </w:r>
      <w:r>
        <w:rPr>
          <w:rFonts w:hint="eastAsia" w:ascii="宋体" w:hAnsi="宋体" w:cs="宋体"/>
          <w:color w:val="auto"/>
          <w:szCs w:val="21"/>
          <w:highlight w:val="none"/>
          <w:lang w:val="en-US" w:eastAsia="zh-CN"/>
        </w:rPr>
        <w:t>（提供承诺，格式后附）</w:t>
      </w:r>
    </w:p>
    <w:p w14:paraId="6B485F1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6</w:t>
      </w:r>
      <w:r>
        <w:rPr>
          <w:rFonts w:hint="eastAsia" w:eastAsia="宋体"/>
          <w:color w:val="auto"/>
          <w:highlight w:val="none"/>
          <w:lang w:eastAsia="zh-CN"/>
        </w:rPr>
        <w:t>本次竞争性磋商不接受联合体参加磋商；</w:t>
      </w:r>
      <w:r>
        <w:rPr>
          <w:rFonts w:hint="eastAsia" w:ascii="宋体" w:hAnsi="宋体" w:cs="宋体"/>
          <w:color w:val="auto"/>
          <w:szCs w:val="21"/>
          <w:highlight w:val="none"/>
          <w:lang w:val="en-US" w:eastAsia="zh-CN"/>
        </w:rPr>
        <w:t>（提供承诺，格式后附）</w:t>
      </w:r>
    </w:p>
    <w:p w14:paraId="0A2C2C6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CN"/>
        </w:rPr>
        <w:t>3.</w:t>
      </w:r>
      <w:r>
        <w:rPr>
          <w:rFonts w:hint="eastAsia"/>
          <w:color w:val="auto"/>
          <w:highlight w:val="none"/>
          <w:lang w:eastAsia="zh"/>
          <w:woUserID w:val="4"/>
        </w:rPr>
        <w:t>7</w:t>
      </w:r>
      <w:r>
        <w:rPr>
          <w:rFonts w:hint="eastAsia" w:eastAsia="宋体"/>
          <w:color w:val="auto"/>
          <w:highlight w:val="none"/>
          <w:lang w:eastAsia="zh-CN"/>
        </w:rPr>
        <w:t>单位负责人为同一人或者存在直接控股、管理关系的不同供应商，不得参加同一合同项下的政府采购活动；</w:t>
      </w:r>
      <w:r>
        <w:rPr>
          <w:rFonts w:hint="eastAsia" w:ascii="宋体" w:hAnsi="宋体" w:cs="宋体"/>
          <w:color w:val="auto"/>
          <w:szCs w:val="21"/>
          <w:highlight w:val="none"/>
          <w:lang w:val="en-US" w:eastAsia="zh-CN"/>
        </w:rPr>
        <w:t>（提供承诺，格式后附）</w:t>
      </w:r>
    </w:p>
    <w:p w14:paraId="55DF8F98">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32C93AAE">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无在建承诺书</w:t>
      </w:r>
    </w:p>
    <w:p w14:paraId="6E5CA5E8">
      <w:pPr>
        <w:spacing w:line="360" w:lineRule="auto"/>
        <w:rPr>
          <w:rFonts w:hint="eastAsia" w:ascii="宋体" w:hAnsi="宋体" w:cs="宋体"/>
          <w:color w:val="auto"/>
          <w:szCs w:val="21"/>
          <w:highlight w:val="none"/>
        </w:rPr>
      </w:pPr>
    </w:p>
    <w:p w14:paraId="1E31F9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_________________（</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名称）：</w:t>
      </w:r>
    </w:p>
    <w:p w14:paraId="6F2AFE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我方在此承诺，我方拟派往</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 xml:space="preserve"> （以下简称“本工程”）的项目经理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（项目经理姓名及身份证号）现阶段没有担任任何在施建设工程项目的项目经理。</w:t>
      </w:r>
    </w:p>
    <w:p w14:paraId="2E4D11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我方保证上述信息的真实和准确，并愿意承担因我方就此弄虚作假所引起的一切法律后果。</w:t>
      </w:r>
    </w:p>
    <w:p w14:paraId="53A1B7C0">
      <w:pPr>
        <w:spacing w:line="360" w:lineRule="auto"/>
        <w:rPr>
          <w:rFonts w:hint="eastAsia" w:ascii="宋体" w:hAnsi="宋体" w:cs="宋体"/>
          <w:color w:val="auto"/>
          <w:szCs w:val="21"/>
          <w:highlight w:val="none"/>
        </w:rPr>
      </w:pPr>
    </w:p>
    <w:p w14:paraId="12A8CA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439EE07">
      <w:pPr>
        <w:spacing w:line="480" w:lineRule="auto"/>
        <w:rPr>
          <w:rFonts w:hint="eastAsia" w:ascii="宋体" w:hAnsi="宋体" w:cs="宋体"/>
          <w:color w:val="auto"/>
          <w:szCs w:val="21"/>
          <w:highlight w:val="none"/>
        </w:rPr>
      </w:pPr>
    </w:p>
    <w:p w14:paraId="5F2B2E1D">
      <w:pPr>
        <w:spacing w:line="480" w:lineRule="auto"/>
        <w:jc w:val="right"/>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（盖电子公章）</w:t>
      </w:r>
    </w:p>
    <w:p w14:paraId="4BAE2EA8">
      <w:pPr>
        <w:spacing w:line="480" w:lineRule="auto"/>
        <w:jc w:val="righ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（签字或电子章）</w:t>
      </w:r>
    </w:p>
    <w:p w14:paraId="22D766B5">
      <w:pPr>
        <w:rPr>
          <w:rFonts w:hint="eastAsia" w:ascii="宋体" w:hAnsi="宋体" w:cs="宋体"/>
          <w:b/>
          <w:color w:val="auto"/>
          <w:szCs w:val="21"/>
          <w:highlight w:val="none"/>
        </w:rPr>
      </w:pPr>
      <w:r>
        <w:rPr>
          <w:rFonts w:hint="eastAsia" w:ascii="宋体" w:hAnsi="宋体" w:cs="宋体"/>
          <w:color w:val="auto"/>
          <w:szCs w:val="21"/>
          <w:highlight w:val="none"/>
        </w:rPr>
        <w:t xml:space="preserve">                                              _____年_____月______日</w:t>
      </w:r>
    </w:p>
    <w:p w14:paraId="2BEE472C">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0336CE9D">
      <w:pPr>
        <w:spacing w:line="360" w:lineRule="auto"/>
        <w:jc w:val="center"/>
        <w:rPr>
          <w:rFonts w:hint="eastAsia" w:ascii="宋体" w:hAnsi="宋体" w:cs="宋体"/>
          <w:b/>
          <w:bCs/>
          <w:color w:val="auto"/>
          <w:szCs w:val="21"/>
          <w:highlight w:val="none"/>
        </w:rPr>
      </w:pP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资格</w:t>
      </w:r>
      <w:r>
        <w:rPr>
          <w:rFonts w:hint="eastAsia" w:ascii="宋体" w:hAnsi="宋体" w:cs="宋体"/>
          <w:b/>
          <w:color w:val="auto"/>
          <w:szCs w:val="21"/>
          <w:highlight w:val="none"/>
          <w:lang w:eastAsia="zh"/>
          <w:woUserID w:val="1"/>
        </w:rPr>
        <w:t>承诺</w:t>
      </w:r>
      <w:r>
        <w:rPr>
          <w:rFonts w:hint="eastAsia" w:ascii="宋体" w:hAnsi="宋体" w:cs="宋体"/>
          <w:b/>
          <w:color w:val="auto"/>
          <w:szCs w:val="21"/>
          <w:highlight w:val="none"/>
        </w:rPr>
        <w:t>函</w:t>
      </w:r>
    </w:p>
    <w:p w14:paraId="509F2B79">
      <w:pPr>
        <w:spacing w:line="360" w:lineRule="auto"/>
        <w:rPr>
          <w:rFonts w:hint="eastAsia" w:ascii="宋体" w:hAnsi="宋体" w:cs="宋体"/>
          <w:color w:val="auto"/>
          <w:szCs w:val="21"/>
          <w:highlight w:val="none"/>
        </w:rPr>
      </w:pPr>
    </w:p>
    <w:p w14:paraId="54D192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_________________（</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人名称）：</w:t>
      </w:r>
    </w:p>
    <w:p w14:paraId="747379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我方在此声明如下：</w:t>
      </w:r>
    </w:p>
    <w:p w14:paraId="6F64667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我方</w:t>
      </w:r>
      <w:r>
        <w:rPr>
          <w:rFonts w:hint="eastAsia" w:ascii="宋体" w:hAnsi="宋体" w:eastAsia="宋体" w:cs="宋体"/>
          <w:color w:val="auto"/>
          <w:sz w:val="21"/>
          <w:szCs w:val="21"/>
          <w:highlight w:val="none"/>
        </w:rPr>
        <w:t>具有履行</w:t>
      </w:r>
      <w:r>
        <w:rPr>
          <w:rFonts w:hint="eastAsia" w:ascii="宋体" w:hAnsi="宋体" w:cs="宋体"/>
          <w:color w:val="auto"/>
          <w:sz w:val="21"/>
          <w:szCs w:val="21"/>
          <w:highlight w:val="none"/>
          <w:lang w:eastAsia="zh-CN"/>
        </w:rPr>
        <w:t>本项目</w:t>
      </w:r>
      <w:r>
        <w:rPr>
          <w:rFonts w:hint="eastAsia" w:ascii="宋体" w:hAnsi="宋体" w:eastAsia="宋体" w:cs="宋体"/>
          <w:color w:val="auto"/>
          <w:sz w:val="21"/>
          <w:szCs w:val="21"/>
          <w:highlight w:val="none"/>
        </w:rPr>
        <w:t>合同所必需的设备和专业技术能力</w:t>
      </w:r>
      <w:r>
        <w:rPr>
          <w:rFonts w:hint="eastAsia" w:ascii="宋体" w:hAnsi="宋体" w:cs="宋体"/>
          <w:color w:val="auto"/>
          <w:sz w:val="21"/>
          <w:szCs w:val="21"/>
          <w:highlight w:val="none"/>
          <w:lang w:eastAsia="zh-CN"/>
        </w:rPr>
        <w:t>。</w:t>
      </w:r>
    </w:p>
    <w:p w14:paraId="2090D5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我方</w:t>
      </w:r>
      <w:r>
        <w:rPr>
          <w:rFonts w:hint="eastAsia" w:ascii="宋体" w:hAnsi="宋体" w:eastAsia="宋体" w:cs="宋体"/>
          <w:color w:val="auto"/>
          <w:sz w:val="21"/>
          <w:szCs w:val="21"/>
          <w:highlight w:val="none"/>
        </w:rPr>
        <w:t>参加本次采购活动前三年内，在经营活动中没有重大违法记录</w:t>
      </w:r>
      <w:r>
        <w:rPr>
          <w:rFonts w:hint="eastAsia" w:ascii="宋体" w:hAnsi="宋体" w:cs="宋体"/>
          <w:color w:val="auto"/>
          <w:szCs w:val="21"/>
          <w:highlight w:val="none"/>
        </w:rPr>
        <w:t>。</w:t>
      </w:r>
    </w:p>
    <w:p w14:paraId="7AB58E96">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我方与采购人、采购人就本次采购的项目委托的咨询机构、采购代理机构、以及上述机构的附属机构没有行政或经济关联；</w:t>
      </w:r>
    </w:p>
    <w:p w14:paraId="3E44828D">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4、我方没有</w:t>
      </w:r>
      <w:r>
        <w:rPr>
          <w:rFonts w:hint="eastAsia" w:ascii="宋体" w:hAnsi="宋体" w:cs="宋体"/>
          <w:color w:val="auto"/>
          <w:szCs w:val="21"/>
          <w:highlight w:val="none"/>
          <w:lang w:eastAsia="zh-CN"/>
        </w:rPr>
        <w:t>为采购项目提供整体设计、规范编制或者项目管理、监理、检测等服务；</w:t>
      </w:r>
    </w:p>
    <w:p w14:paraId="42288448">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5、我方没有以联合体的方式参加</w:t>
      </w:r>
      <w:r>
        <w:rPr>
          <w:rFonts w:hint="eastAsia" w:ascii="宋体" w:hAnsi="宋体" w:cs="宋体"/>
          <w:color w:val="auto"/>
          <w:szCs w:val="21"/>
          <w:highlight w:val="none"/>
          <w:lang w:eastAsia="zh-CN"/>
        </w:rPr>
        <w:t>本次竞争性磋商采购活动；</w:t>
      </w:r>
    </w:p>
    <w:p w14:paraId="36C91795">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6、我方不存在</w:t>
      </w:r>
      <w:r>
        <w:rPr>
          <w:rFonts w:hint="eastAsia" w:ascii="宋体" w:hAnsi="宋体" w:cs="宋体"/>
          <w:color w:val="auto"/>
          <w:szCs w:val="21"/>
          <w:highlight w:val="none"/>
          <w:lang w:eastAsia="zh-CN"/>
        </w:rPr>
        <w:t>单位负责人为同一人或者存在直接控股、管理关系的不同供应商，参加同一合同项下的政府采购活动的情形；</w:t>
      </w:r>
    </w:p>
    <w:p w14:paraId="45AEC5F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
        </w:rPr>
        <w:t>7、</w:t>
      </w:r>
      <w:r>
        <w:rPr>
          <w:rFonts w:hint="eastAsia" w:ascii="宋体" w:hAnsi="宋体" w:eastAsia="宋体" w:cs="宋体"/>
          <w:color w:val="auto"/>
          <w:szCs w:val="21"/>
          <w:highlight w:val="none"/>
          <w:lang w:val="en-US" w:eastAsia="zh"/>
          <w:woUserID w:val="1"/>
        </w:rPr>
        <w:t>我方满足并相应</w:t>
      </w:r>
      <w:r>
        <w:rPr>
          <w:rFonts w:hint="eastAsia" w:ascii="宋体" w:hAnsi="宋体" w:eastAsia="宋体" w:cs="宋体"/>
          <w:color w:val="auto"/>
          <w:szCs w:val="21"/>
          <w:highlight w:val="none"/>
          <w:lang w:val="en-US" w:eastAsia="zh-CN"/>
        </w:rPr>
        <w:t>法律、行政法规规定的其他条件；</w:t>
      </w:r>
    </w:p>
    <w:p w14:paraId="0108A930">
      <w:pPr>
        <w:spacing w:line="360" w:lineRule="auto"/>
        <w:ind w:firstLine="420" w:firstLineChars="200"/>
        <w:rPr>
          <w:rFonts w:hint="eastAsia" w:ascii="宋体" w:hAnsi="宋体" w:cs="宋体"/>
          <w:color w:val="auto"/>
          <w:szCs w:val="21"/>
          <w:highlight w:val="none"/>
          <w:lang w:eastAsia="zh-CN"/>
        </w:rPr>
      </w:pPr>
    </w:p>
    <w:p w14:paraId="2F2491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我方保证上述信息的真实和准确，并愿意承担因我方就此弄虚作假所引起的一切法律后果。</w:t>
      </w:r>
    </w:p>
    <w:p w14:paraId="77B9ADAE">
      <w:pPr>
        <w:spacing w:line="360" w:lineRule="auto"/>
        <w:rPr>
          <w:rFonts w:hint="eastAsia" w:ascii="宋体" w:hAnsi="宋体" w:cs="宋体"/>
          <w:color w:val="auto"/>
          <w:szCs w:val="21"/>
          <w:highlight w:val="none"/>
        </w:rPr>
      </w:pPr>
    </w:p>
    <w:p w14:paraId="31A89B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特此声明。</w:t>
      </w:r>
    </w:p>
    <w:p w14:paraId="5EA86CB5">
      <w:pPr>
        <w:spacing w:line="480" w:lineRule="auto"/>
        <w:rPr>
          <w:rFonts w:hint="eastAsia" w:ascii="宋体" w:hAnsi="宋体" w:cs="宋体"/>
          <w:color w:val="auto"/>
          <w:szCs w:val="21"/>
          <w:highlight w:val="none"/>
        </w:rPr>
      </w:pPr>
    </w:p>
    <w:p w14:paraId="2E40932B">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（盖章）</w:t>
      </w:r>
    </w:p>
    <w:p w14:paraId="54985A63">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法定代表人或其授权委托人：</w:t>
      </w:r>
      <w:r>
        <w:rPr>
          <w:rFonts w:hint="eastAsia" w:ascii="宋体" w:hAnsi="宋体" w:cs="宋体"/>
          <w:color w:val="auto"/>
          <w:szCs w:val="21"/>
          <w:highlight w:val="none"/>
          <w:u w:val="single"/>
        </w:rPr>
        <w:t xml:space="preserve">     （签字或盖章）</w:t>
      </w:r>
    </w:p>
    <w:p w14:paraId="224F1FDF">
      <w:pPr>
        <w:spacing w:line="360" w:lineRule="auto"/>
        <w:ind w:firstLine="3780" w:firstLineChars="1800"/>
        <w:rPr>
          <w:rFonts w:ascii="宋体" w:hAnsi="宋体" w:cs="宋体"/>
          <w:color w:val="auto"/>
          <w:sz w:val="24"/>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年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月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日</w:t>
      </w:r>
    </w:p>
    <w:p w14:paraId="164A22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br w:type="page"/>
      </w:r>
    </w:p>
    <w:p w14:paraId="36F80AEF">
      <w:pPr>
        <w:pStyle w:val="3"/>
        <w:rPr>
          <w:color w:val="auto"/>
          <w:highlight w:val="none"/>
        </w:rPr>
      </w:pPr>
      <w:bookmarkStart w:id="1201" w:name="_Toc31098"/>
      <w:bookmarkStart w:id="1202" w:name="_Toc23016"/>
      <w:r>
        <w:rPr>
          <w:rFonts w:hint="eastAsia"/>
          <w:color w:val="auto"/>
          <w:highlight w:val="none"/>
        </w:rPr>
        <w:t>七、技术部分</w:t>
      </w:r>
      <w:bookmarkEnd w:id="1201"/>
      <w:bookmarkEnd w:id="1202"/>
    </w:p>
    <w:p w14:paraId="37821941">
      <w:pPr>
        <w:spacing w:line="440" w:lineRule="exact"/>
        <w:jc w:val="left"/>
        <w:outlineLvl w:val="1"/>
        <w:rPr>
          <w:rFonts w:hint="eastAsia" w:ascii="宋体" w:hAnsi="宋体" w:cs="宋体"/>
          <w:b/>
          <w:bCs/>
          <w:color w:val="auto"/>
          <w:sz w:val="24"/>
          <w:highlight w:val="none"/>
        </w:rPr>
      </w:pPr>
      <w:bookmarkStart w:id="1203" w:name="_Toc5830"/>
      <w:bookmarkStart w:id="1204" w:name="_Toc25251"/>
      <w:bookmarkStart w:id="1205" w:name="_Toc31397"/>
      <w:bookmarkStart w:id="1206" w:name="_Toc11816"/>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、设计方案</w:t>
      </w:r>
      <w:bookmarkEnd w:id="1203"/>
      <w:bookmarkEnd w:id="1204"/>
      <w:bookmarkEnd w:id="1205"/>
      <w:bookmarkEnd w:id="1206"/>
    </w:p>
    <w:p w14:paraId="1E01769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rPr>
      </w:pPr>
      <w:r>
        <w:rPr>
          <w:rFonts w:hint="eastAsia" w:eastAsia="宋体"/>
          <w:color w:val="auto"/>
          <w:highlight w:val="none"/>
          <w:lang w:eastAsia="zh"/>
        </w:rPr>
        <w:t>1、</w:t>
      </w:r>
      <w:r>
        <w:rPr>
          <w:rFonts w:hint="eastAsia"/>
          <w:color w:val="auto"/>
          <w:highlight w:val="none"/>
          <w:lang w:eastAsia="zh-CN"/>
        </w:rPr>
        <w:t>响应文件</w:t>
      </w:r>
      <w:r>
        <w:rPr>
          <w:rFonts w:hint="eastAsia" w:eastAsia="宋体"/>
          <w:color w:val="auto"/>
          <w:highlight w:val="none"/>
          <w:lang w:eastAsia="zh"/>
        </w:rPr>
        <w:t>需提供工艺电力系统二次配；工艺超纯水二次配</w:t>
      </w:r>
      <w:r>
        <w:rPr>
          <w:rFonts w:hint="eastAsia"/>
          <w:color w:val="auto"/>
          <w:highlight w:val="none"/>
          <w:lang w:eastAsia="zh-CN"/>
        </w:rPr>
        <w:t>；</w:t>
      </w:r>
      <w:r>
        <w:rPr>
          <w:rFonts w:hint="eastAsia" w:eastAsia="宋体"/>
          <w:color w:val="auto"/>
          <w:highlight w:val="none"/>
          <w:lang w:eastAsia="zh"/>
        </w:rPr>
        <w:t>工艺排气系统二次配</w:t>
      </w:r>
      <w:r>
        <w:rPr>
          <w:rFonts w:hint="eastAsia"/>
          <w:color w:val="auto"/>
          <w:highlight w:val="none"/>
          <w:lang w:eastAsia="zh-CN"/>
        </w:rPr>
        <w:t>；</w:t>
      </w:r>
      <w:r>
        <w:rPr>
          <w:rFonts w:hint="eastAsia" w:eastAsia="宋体"/>
          <w:color w:val="auto"/>
          <w:highlight w:val="none"/>
          <w:lang w:eastAsia="zh"/>
        </w:rPr>
        <w:t>工艺排水与排液二次配</w:t>
      </w:r>
      <w:r>
        <w:rPr>
          <w:rFonts w:hint="eastAsia"/>
          <w:color w:val="auto"/>
          <w:highlight w:val="none"/>
          <w:lang w:eastAsia="zh-CN"/>
        </w:rPr>
        <w:t>；</w:t>
      </w:r>
      <w:r>
        <w:rPr>
          <w:rFonts w:hint="eastAsia" w:eastAsia="宋体"/>
          <w:color w:val="auto"/>
          <w:highlight w:val="none"/>
          <w:lang w:eastAsia="zh"/>
        </w:rPr>
        <w:t>工艺气体二次配</w:t>
      </w:r>
      <w:r>
        <w:rPr>
          <w:rFonts w:hint="eastAsia"/>
          <w:color w:val="auto"/>
          <w:highlight w:val="none"/>
          <w:lang w:eastAsia="zh-CN"/>
        </w:rPr>
        <w:t>；</w:t>
      </w:r>
      <w:r>
        <w:rPr>
          <w:rFonts w:hint="eastAsia" w:eastAsia="宋体"/>
          <w:color w:val="auto"/>
          <w:highlight w:val="none"/>
          <w:lang w:eastAsia="zh"/>
        </w:rPr>
        <w:t>工艺冷却水系统二次配</w:t>
      </w:r>
      <w:r>
        <w:rPr>
          <w:rFonts w:hint="eastAsia"/>
          <w:color w:val="auto"/>
          <w:highlight w:val="none"/>
          <w:lang w:eastAsia="zh-CN"/>
        </w:rPr>
        <w:t>；</w:t>
      </w:r>
      <w:r>
        <w:rPr>
          <w:rFonts w:hint="eastAsia" w:eastAsia="宋体"/>
          <w:color w:val="auto"/>
          <w:highlight w:val="none"/>
          <w:lang w:eastAsia="zh"/>
        </w:rPr>
        <w:t>尾气处理及真空管路二次配图纸及设计方案。</w:t>
      </w:r>
    </w:p>
    <w:p w14:paraId="0F04696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CN"/>
        </w:rPr>
      </w:pPr>
      <w:r>
        <w:rPr>
          <w:rFonts w:hint="eastAsia" w:eastAsia="宋体"/>
          <w:color w:val="auto"/>
          <w:highlight w:val="none"/>
          <w:lang w:eastAsia="zh"/>
        </w:rPr>
        <w:t>2、</w:t>
      </w:r>
      <w:r>
        <w:rPr>
          <w:rFonts w:hint="eastAsia"/>
          <w:color w:val="auto"/>
          <w:highlight w:val="none"/>
          <w:lang w:eastAsia="zh-CN"/>
        </w:rPr>
        <w:t>供应商</w:t>
      </w:r>
      <w:r>
        <w:rPr>
          <w:rFonts w:hint="eastAsia" w:eastAsia="宋体"/>
          <w:color w:val="auto"/>
          <w:highlight w:val="none"/>
          <w:lang w:eastAsia="zh-CN"/>
        </w:rPr>
        <w:t>根据评分要点自行编制(格式自拟)</w:t>
      </w:r>
    </w:p>
    <w:p w14:paraId="033E6362">
      <w:pPr>
        <w:spacing w:line="440" w:lineRule="exact"/>
        <w:jc w:val="left"/>
        <w:outlineLvl w:val="1"/>
        <w:rPr>
          <w:rFonts w:hint="eastAsia" w:ascii="宋体" w:hAnsi="宋体" w:cs="宋体"/>
          <w:b/>
          <w:bCs/>
          <w:color w:val="auto"/>
          <w:sz w:val="24"/>
          <w:highlight w:val="none"/>
          <w:lang w:eastAsia="zh-CN"/>
        </w:rPr>
      </w:pPr>
      <w:bookmarkStart w:id="1207" w:name="_Toc11872"/>
      <w:bookmarkStart w:id="1208" w:name="_Toc7301"/>
      <w:bookmarkStart w:id="1209" w:name="_Toc28531"/>
      <w:bookmarkStart w:id="1210" w:name="_Toc28440"/>
      <w:r>
        <w:rPr>
          <w:rFonts w:hint="eastAsia" w:ascii="宋体" w:hAnsi="宋体" w:cs="宋体"/>
          <w:b/>
          <w:bCs/>
          <w:color w:val="auto"/>
          <w:sz w:val="24"/>
          <w:highlight w:val="none"/>
          <w:lang w:eastAsia="zh-CN"/>
        </w:rPr>
        <w:t>二、施工方案</w:t>
      </w:r>
      <w:bookmarkEnd w:id="1207"/>
      <w:bookmarkEnd w:id="1208"/>
      <w:bookmarkEnd w:id="1209"/>
      <w:bookmarkEnd w:id="1210"/>
    </w:p>
    <w:p w14:paraId="22F83B6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rPr>
      </w:pPr>
      <w:r>
        <w:rPr>
          <w:rFonts w:hint="eastAsia" w:eastAsia="宋体"/>
          <w:color w:val="auto"/>
          <w:highlight w:val="none"/>
          <w:lang w:eastAsia="zh"/>
        </w:rPr>
        <w:t>1、</w:t>
      </w:r>
      <w:r>
        <w:rPr>
          <w:rFonts w:hint="eastAsia"/>
          <w:color w:val="auto"/>
          <w:highlight w:val="none"/>
          <w:lang w:eastAsia="zh-CN"/>
        </w:rPr>
        <w:t>响应文件</w:t>
      </w:r>
      <w:r>
        <w:rPr>
          <w:rFonts w:hint="eastAsia" w:eastAsia="宋体"/>
          <w:color w:val="auto"/>
          <w:highlight w:val="none"/>
          <w:lang w:eastAsia="zh"/>
        </w:rPr>
        <w:t>需提供工艺电力系统二次配；工艺超纯水二次配</w:t>
      </w:r>
      <w:r>
        <w:rPr>
          <w:rFonts w:hint="eastAsia"/>
          <w:color w:val="auto"/>
          <w:highlight w:val="none"/>
          <w:lang w:eastAsia="zh-CN"/>
        </w:rPr>
        <w:t>；</w:t>
      </w:r>
      <w:r>
        <w:rPr>
          <w:rFonts w:hint="eastAsia" w:eastAsia="宋体"/>
          <w:color w:val="auto"/>
          <w:highlight w:val="none"/>
          <w:lang w:eastAsia="zh"/>
        </w:rPr>
        <w:t>工艺排气系统二次配</w:t>
      </w:r>
      <w:r>
        <w:rPr>
          <w:rFonts w:hint="eastAsia"/>
          <w:color w:val="auto"/>
          <w:highlight w:val="none"/>
          <w:lang w:eastAsia="zh-CN"/>
        </w:rPr>
        <w:t>；</w:t>
      </w:r>
      <w:r>
        <w:rPr>
          <w:rFonts w:hint="eastAsia" w:eastAsia="宋体"/>
          <w:color w:val="auto"/>
          <w:highlight w:val="none"/>
          <w:lang w:eastAsia="zh"/>
        </w:rPr>
        <w:t>工艺排水与排液二次配</w:t>
      </w:r>
      <w:r>
        <w:rPr>
          <w:rFonts w:hint="eastAsia"/>
          <w:color w:val="auto"/>
          <w:highlight w:val="none"/>
          <w:lang w:eastAsia="zh-CN"/>
        </w:rPr>
        <w:t>；</w:t>
      </w:r>
      <w:r>
        <w:rPr>
          <w:rFonts w:hint="eastAsia" w:eastAsia="宋体"/>
          <w:color w:val="auto"/>
          <w:highlight w:val="none"/>
          <w:lang w:eastAsia="zh"/>
        </w:rPr>
        <w:t>工艺气体二次配</w:t>
      </w:r>
      <w:r>
        <w:rPr>
          <w:rFonts w:hint="eastAsia"/>
          <w:color w:val="auto"/>
          <w:highlight w:val="none"/>
          <w:lang w:eastAsia="zh-CN"/>
        </w:rPr>
        <w:t>；</w:t>
      </w:r>
      <w:r>
        <w:rPr>
          <w:rFonts w:hint="eastAsia" w:eastAsia="宋体"/>
          <w:color w:val="auto"/>
          <w:highlight w:val="none"/>
          <w:lang w:eastAsia="zh"/>
        </w:rPr>
        <w:t>工艺冷却水系统二次配</w:t>
      </w:r>
      <w:r>
        <w:rPr>
          <w:rFonts w:hint="eastAsia"/>
          <w:color w:val="auto"/>
          <w:highlight w:val="none"/>
          <w:lang w:eastAsia="zh-CN"/>
        </w:rPr>
        <w:t>；</w:t>
      </w:r>
      <w:r>
        <w:rPr>
          <w:rFonts w:hint="eastAsia" w:eastAsia="宋体"/>
          <w:color w:val="auto"/>
          <w:highlight w:val="none"/>
          <w:lang w:eastAsia="zh"/>
        </w:rPr>
        <w:t>尾气处理及真空管路二次配具体施工方案。</w:t>
      </w:r>
    </w:p>
    <w:p w14:paraId="11FB665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rPr>
      </w:pPr>
      <w:r>
        <w:rPr>
          <w:rFonts w:hint="eastAsia" w:eastAsia="宋体"/>
          <w:color w:val="auto"/>
          <w:highlight w:val="none"/>
          <w:lang w:eastAsia="zh"/>
        </w:rPr>
        <w:t>2、</w:t>
      </w:r>
      <w:r>
        <w:rPr>
          <w:rFonts w:hint="eastAsia"/>
          <w:color w:val="auto"/>
          <w:highlight w:val="none"/>
          <w:lang w:eastAsia="zh-CN"/>
        </w:rPr>
        <w:t>供应商</w:t>
      </w:r>
      <w:r>
        <w:rPr>
          <w:rFonts w:hint="eastAsia" w:eastAsia="宋体"/>
          <w:color w:val="auto"/>
          <w:highlight w:val="none"/>
          <w:lang w:eastAsia="zh"/>
        </w:rPr>
        <w:t>根据评分要点自行编制(格式自拟)</w:t>
      </w:r>
    </w:p>
    <w:p w14:paraId="4C04F7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olor w:val="auto"/>
          <w:highlight w:val="none"/>
          <w:lang w:eastAsia="zh"/>
          <w:woUserID w:val="1"/>
        </w:rPr>
      </w:pPr>
      <w:r>
        <w:rPr>
          <w:rFonts w:hint="eastAsia" w:eastAsia="宋体"/>
          <w:color w:val="auto"/>
          <w:highlight w:val="none"/>
          <w:lang w:eastAsia="zh"/>
        </w:rPr>
        <w:t>3、</w:t>
      </w:r>
      <w:r>
        <w:rPr>
          <w:rFonts w:hint="eastAsia" w:eastAsia="宋体"/>
          <w:color w:val="auto"/>
          <w:highlight w:val="none"/>
          <w:lang w:eastAsia="zh"/>
          <w:woUserID w:val="1"/>
        </w:rPr>
        <w:t>依据磋商文件要求编制</w:t>
      </w:r>
      <w:r>
        <w:rPr>
          <w:rFonts w:hint="eastAsia" w:eastAsia="宋体"/>
          <w:color w:val="auto"/>
          <w:highlight w:val="none"/>
          <w:lang w:eastAsia="zh"/>
        </w:rPr>
        <w:t>施工及检测核</w:t>
      </w:r>
      <w:r>
        <w:rPr>
          <w:rFonts w:hint="eastAsia" w:ascii="宋体" w:hAnsi="宋体" w:cs="宋体"/>
          <w:color w:val="auto"/>
          <w:szCs w:val="21"/>
          <w:highlight w:val="none"/>
          <w:lang w:bidi="ar"/>
          <w:woUserID w:val="1"/>
        </w:rPr>
        <w:t>心设备明细单</w:t>
      </w:r>
      <w:r>
        <w:rPr>
          <w:rFonts w:hint="eastAsia" w:ascii="宋体" w:hAnsi="宋体" w:cs="宋体"/>
          <w:color w:val="auto"/>
          <w:szCs w:val="21"/>
          <w:highlight w:val="none"/>
          <w:lang w:eastAsia="zh" w:bidi="ar"/>
          <w:woUserID w:val="1"/>
        </w:rPr>
        <w:t>（格式自拟）</w:t>
      </w:r>
      <w:r>
        <w:rPr>
          <w:rFonts w:ascii="宋体" w:hAnsi="宋体"/>
          <w:color w:val="auto"/>
          <w:szCs w:val="21"/>
          <w:highlight w:val="none"/>
        </w:rPr>
        <w:br w:type="page"/>
      </w:r>
      <w:r>
        <w:rPr>
          <w:rFonts w:hint="eastAsia" w:eastAsia="宋体"/>
          <w:color w:val="auto"/>
          <w:highlight w:val="none"/>
          <w:lang w:eastAsia="zh"/>
          <w:woUserID w:val="1"/>
        </w:rPr>
        <w:t>(格式自拟)</w:t>
      </w:r>
    </w:p>
    <w:p w14:paraId="3A809732">
      <w:pPr>
        <w:rPr>
          <w:color w:val="auto"/>
          <w:highlight w:val="none"/>
        </w:rPr>
      </w:pPr>
    </w:p>
    <w:p w14:paraId="4155E7DF">
      <w:pPr>
        <w:pStyle w:val="3"/>
        <w:rPr>
          <w:color w:val="auto"/>
          <w:highlight w:val="none"/>
        </w:rPr>
      </w:pPr>
      <w:bookmarkStart w:id="1211" w:name="_Toc18349"/>
      <w:r>
        <w:rPr>
          <w:rFonts w:hint="eastAsia"/>
          <w:color w:val="auto"/>
          <w:highlight w:val="none"/>
        </w:rPr>
        <w:t>八、</w:t>
      </w:r>
      <w:r>
        <w:rPr>
          <w:rFonts w:hint="eastAsia"/>
          <w:color w:val="auto"/>
          <w:highlight w:val="none"/>
          <w:lang w:val="en-US" w:eastAsia="zh-CN"/>
        </w:rPr>
        <w:t>综合</w:t>
      </w:r>
      <w:r>
        <w:rPr>
          <w:rFonts w:hint="eastAsia"/>
          <w:color w:val="auto"/>
          <w:highlight w:val="none"/>
        </w:rPr>
        <w:t>部分</w:t>
      </w:r>
      <w:bookmarkEnd w:id="1211"/>
    </w:p>
    <w:p w14:paraId="29A7ADA1">
      <w:pPr>
        <w:spacing w:line="360" w:lineRule="auto"/>
        <w:jc w:val="center"/>
        <w:outlineLvl w:val="1"/>
        <w:rPr>
          <w:rFonts w:ascii="宋体" w:hAnsi="宋体" w:cs="宋体"/>
          <w:b/>
          <w:bCs/>
          <w:color w:val="auto"/>
          <w:sz w:val="24"/>
          <w:highlight w:val="none"/>
        </w:rPr>
      </w:pPr>
      <w:bookmarkStart w:id="1212" w:name="_Toc700"/>
      <w:r>
        <w:rPr>
          <w:rFonts w:hint="eastAsia" w:ascii="宋体" w:hAnsi="宋体" w:cs="宋体"/>
          <w:b/>
          <w:bCs/>
          <w:color w:val="auto"/>
          <w:sz w:val="24"/>
          <w:highlight w:val="none"/>
        </w:rPr>
        <w:t>（一）近年完成的类似业绩情况表</w:t>
      </w:r>
      <w:bookmarkEnd w:id="1212"/>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451"/>
      </w:tblGrid>
      <w:tr w14:paraId="5147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11" w:type="dxa"/>
            <w:vAlign w:val="center"/>
          </w:tcPr>
          <w:p w14:paraId="201760B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451" w:type="dxa"/>
            <w:vAlign w:val="center"/>
          </w:tcPr>
          <w:p w14:paraId="748311D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2B79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11" w:type="dxa"/>
            <w:vAlign w:val="center"/>
          </w:tcPr>
          <w:p w14:paraId="0A28C67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项目所在地</w:t>
            </w:r>
          </w:p>
        </w:tc>
        <w:tc>
          <w:tcPr>
            <w:tcW w:w="6451" w:type="dxa"/>
            <w:vAlign w:val="center"/>
          </w:tcPr>
          <w:p w14:paraId="46B0B2B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247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11" w:type="dxa"/>
            <w:vAlign w:val="center"/>
          </w:tcPr>
          <w:p w14:paraId="456686A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发包人名称</w:t>
            </w:r>
          </w:p>
        </w:tc>
        <w:tc>
          <w:tcPr>
            <w:tcW w:w="6451" w:type="dxa"/>
            <w:vAlign w:val="center"/>
          </w:tcPr>
          <w:p w14:paraId="13EA43E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04B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11" w:type="dxa"/>
            <w:vAlign w:val="center"/>
          </w:tcPr>
          <w:p w14:paraId="3AF2695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发包人地址</w:t>
            </w:r>
          </w:p>
        </w:tc>
        <w:tc>
          <w:tcPr>
            <w:tcW w:w="6451" w:type="dxa"/>
            <w:vAlign w:val="center"/>
          </w:tcPr>
          <w:p w14:paraId="01654B7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5FEB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11" w:type="dxa"/>
            <w:vAlign w:val="center"/>
          </w:tcPr>
          <w:p w14:paraId="7255FE3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发包人联系人及电话</w:t>
            </w:r>
          </w:p>
        </w:tc>
        <w:tc>
          <w:tcPr>
            <w:tcW w:w="6451" w:type="dxa"/>
            <w:vAlign w:val="center"/>
          </w:tcPr>
          <w:p w14:paraId="5530A4A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1A7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11" w:type="dxa"/>
            <w:vAlign w:val="center"/>
          </w:tcPr>
          <w:p w14:paraId="653A56F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合同价格</w:t>
            </w:r>
          </w:p>
        </w:tc>
        <w:tc>
          <w:tcPr>
            <w:tcW w:w="6451" w:type="dxa"/>
            <w:vAlign w:val="center"/>
          </w:tcPr>
          <w:p w14:paraId="3C2C82B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F08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11" w:type="dxa"/>
            <w:vAlign w:val="center"/>
          </w:tcPr>
          <w:p w14:paraId="3C1DCC4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合同签订日期</w:t>
            </w:r>
          </w:p>
        </w:tc>
        <w:tc>
          <w:tcPr>
            <w:tcW w:w="6451" w:type="dxa"/>
            <w:vAlign w:val="center"/>
          </w:tcPr>
          <w:p w14:paraId="6EC1902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962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11" w:type="dxa"/>
            <w:vAlign w:val="center"/>
          </w:tcPr>
          <w:p w14:paraId="05EAC22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项目经理</w:t>
            </w:r>
          </w:p>
        </w:tc>
        <w:tc>
          <w:tcPr>
            <w:tcW w:w="6451" w:type="dxa"/>
            <w:vAlign w:val="center"/>
          </w:tcPr>
          <w:p w14:paraId="563F8B4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448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1" w:type="dxa"/>
            <w:vAlign w:val="center"/>
          </w:tcPr>
          <w:p w14:paraId="0C1E76E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项目描述</w:t>
            </w:r>
          </w:p>
        </w:tc>
        <w:tc>
          <w:tcPr>
            <w:tcW w:w="6451" w:type="dxa"/>
            <w:vAlign w:val="center"/>
          </w:tcPr>
          <w:p w14:paraId="1655E12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238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11" w:type="dxa"/>
            <w:vAlign w:val="center"/>
          </w:tcPr>
          <w:p w14:paraId="3527FE3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备注</w:t>
            </w:r>
          </w:p>
        </w:tc>
        <w:tc>
          <w:tcPr>
            <w:tcW w:w="6451" w:type="dxa"/>
            <w:vAlign w:val="center"/>
          </w:tcPr>
          <w:p w14:paraId="062DC37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bl>
    <w:p w14:paraId="64494D90">
      <w:pPr>
        <w:widowControl/>
        <w:jc w:val="left"/>
        <w:rPr>
          <w:color w:val="auto"/>
          <w:szCs w:val="21"/>
          <w:highlight w:val="none"/>
        </w:rPr>
      </w:pPr>
    </w:p>
    <w:p w14:paraId="49342F84">
      <w:pPr>
        <w:pStyle w:val="15"/>
        <w:ind w:left="0" w:leftChars="0"/>
        <w:rPr>
          <w:color w:val="auto"/>
          <w:highlight w:val="none"/>
        </w:rPr>
      </w:pPr>
    </w:p>
    <w:p w14:paraId="422C5D74">
      <w:pPr>
        <w:rPr>
          <w:rFonts w:ascii="宋体" w:hAnsi="宋体" w:cs="宋体"/>
          <w:color w:val="auto"/>
          <w:szCs w:val="21"/>
          <w:highlight w:val="none"/>
        </w:rPr>
      </w:pPr>
      <w:r>
        <w:rPr>
          <w:rFonts w:hint="eastAsia" w:ascii="宋体" w:hAnsi="宋体" w:cs="宋体"/>
          <w:color w:val="auto"/>
          <w:szCs w:val="21"/>
          <w:highlight w:val="none"/>
        </w:rPr>
        <w:br w:type="page"/>
      </w:r>
      <w:bookmarkStart w:id="1213" w:name="_Toc10890"/>
      <w:bookmarkStart w:id="1214" w:name="_Toc3063"/>
      <w:bookmarkStart w:id="1215" w:name="_Toc21937"/>
      <w:bookmarkStart w:id="1216" w:name="_Toc466298170"/>
      <w:bookmarkStart w:id="1217" w:name="_Toc425752595"/>
      <w:bookmarkStart w:id="1218" w:name="_Toc13739"/>
    </w:p>
    <w:p w14:paraId="70F3ADE4">
      <w:pPr>
        <w:spacing w:line="360" w:lineRule="auto"/>
        <w:jc w:val="center"/>
        <w:outlineLvl w:val="1"/>
        <w:rPr>
          <w:rFonts w:ascii="宋体" w:hAnsi="宋体" w:cs="宋体"/>
          <w:b/>
          <w:bCs/>
          <w:color w:val="auto"/>
          <w:sz w:val="24"/>
          <w:highlight w:val="none"/>
        </w:rPr>
      </w:pPr>
      <w:bookmarkStart w:id="1219" w:name="_Toc1751"/>
      <w:r>
        <w:rPr>
          <w:rFonts w:hint="eastAsia" w:ascii="宋体" w:hAnsi="宋体" w:cs="宋体"/>
          <w:b/>
          <w:bCs/>
          <w:color w:val="auto"/>
          <w:sz w:val="24"/>
          <w:highlight w:val="none"/>
        </w:rPr>
        <w:t>（二）项目管理机构组成表</w:t>
      </w:r>
      <w:bookmarkEnd w:id="121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709"/>
        <w:gridCol w:w="709"/>
        <w:gridCol w:w="1134"/>
        <w:gridCol w:w="1134"/>
        <w:gridCol w:w="1134"/>
        <w:gridCol w:w="1134"/>
        <w:gridCol w:w="1134"/>
        <w:gridCol w:w="876"/>
      </w:tblGrid>
      <w:tr w14:paraId="2FDA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Merge w:val="restart"/>
            <w:vAlign w:val="center"/>
          </w:tcPr>
          <w:p w14:paraId="029557C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职务</w:t>
            </w:r>
          </w:p>
        </w:tc>
        <w:tc>
          <w:tcPr>
            <w:tcW w:w="709" w:type="dxa"/>
            <w:vMerge w:val="restart"/>
            <w:vAlign w:val="center"/>
          </w:tcPr>
          <w:p w14:paraId="7D50C6D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姓名</w:t>
            </w:r>
          </w:p>
        </w:tc>
        <w:tc>
          <w:tcPr>
            <w:tcW w:w="709" w:type="dxa"/>
            <w:vMerge w:val="restart"/>
            <w:vAlign w:val="center"/>
          </w:tcPr>
          <w:p w14:paraId="797D8C2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职称</w:t>
            </w:r>
          </w:p>
        </w:tc>
        <w:tc>
          <w:tcPr>
            <w:tcW w:w="5670" w:type="dxa"/>
            <w:gridSpan w:val="5"/>
            <w:vAlign w:val="center"/>
          </w:tcPr>
          <w:p w14:paraId="336D507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执业或职业资格证明</w:t>
            </w:r>
          </w:p>
        </w:tc>
        <w:tc>
          <w:tcPr>
            <w:tcW w:w="876" w:type="dxa"/>
            <w:vMerge w:val="restart"/>
            <w:vAlign w:val="center"/>
          </w:tcPr>
          <w:p w14:paraId="32EEB16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备注</w:t>
            </w:r>
          </w:p>
        </w:tc>
      </w:tr>
      <w:tr w14:paraId="08F3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49" w:type="dxa"/>
            <w:vMerge w:val="continue"/>
            <w:vAlign w:val="center"/>
          </w:tcPr>
          <w:p w14:paraId="199A2FE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Merge w:val="continue"/>
            <w:vAlign w:val="center"/>
          </w:tcPr>
          <w:p w14:paraId="66983DE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Merge w:val="continue"/>
            <w:vAlign w:val="center"/>
          </w:tcPr>
          <w:p w14:paraId="2EABDFE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3E746DC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证书</w:t>
            </w:r>
          </w:p>
          <w:p w14:paraId="561D226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名称</w:t>
            </w:r>
          </w:p>
        </w:tc>
        <w:tc>
          <w:tcPr>
            <w:tcW w:w="1134" w:type="dxa"/>
            <w:vAlign w:val="center"/>
          </w:tcPr>
          <w:p w14:paraId="33A0C04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级别</w:t>
            </w:r>
          </w:p>
        </w:tc>
        <w:tc>
          <w:tcPr>
            <w:tcW w:w="1134" w:type="dxa"/>
            <w:vAlign w:val="center"/>
          </w:tcPr>
          <w:p w14:paraId="47A9EEE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证号</w:t>
            </w:r>
          </w:p>
        </w:tc>
        <w:tc>
          <w:tcPr>
            <w:tcW w:w="1134" w:type="dxa"/>
            <w:vAlign w:val="center"/>
          </w:tcPr>
          <w:p w14:paraId="743C1E1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专业</w:t>
            </w:r>
          </w:p>
        </w:tc>
        <w:tc>
          <w:tcPr>
            <w:tcW w:w="1134" w:type="dxa"/>
            <w:vAlign w:val="center"/>
          </w:tcPr>
          <w:p w14:paraId="39E19AE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养老</w:t>
            </w:r>
          </w:p>
          <w:p w14:paraId="2262EC5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保险</w:t>
            </w:r>
          </w:p>
        </w:tc>
        <w:tc>
          <w:tcPr>
            <w:tcW w:w="876" w:type="dxa"/>
            <w:vMerge w:val="continue"/>
            <w:vAlign w:val="center"/>
          </w:tcPr>
          <w:p w14:paraId="21703E1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680E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22F8D34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5224EC8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6819760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681BB61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4974AF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1E0F5DF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53D898F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7AF8D9A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4A763A9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658F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5B7FFDB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2139B67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2D0FB55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434E646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153428B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2E59897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662E825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1DDFBCC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784E7C5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993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3B223B2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52F89AC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2F9E0C4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23B58D1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3038ABA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7D38B5D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7A5CA13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6E1A1F4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6A73C59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2BE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2ABB01F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50C5BE5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2185FA0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538F450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7770477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70AB476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739A09F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7C91761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4A9FA6E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6772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4EC4583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1966B2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51749FC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42676A5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7F8EFA6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48A20AE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03AD367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32686F1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1D286D3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61D7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0135F3A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644B891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129EF8C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60E1FA9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3322F3B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33277A5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5205E73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4B18AF4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2CD4C58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BA8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14C069A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35245F5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4A2AEEE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63BCA2D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55576C0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33245DC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1BCC6C5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22D7D92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29C3BE0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982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6D001E0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11921F4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538C009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2E5D7D3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4CAB988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0B992C3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068068B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107348A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5E8E553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C42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1E5E0D9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78CB17E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1AE4ED3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44BD889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12937A7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22CDA2A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1C912E8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2158E21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3296891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4EE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1B37F32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7DDB1C1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7232EFB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160EFA2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66FFD44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5D1BC3F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423E0EA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40D54EA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4E8C869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3A4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9" w:type="dxa"/>
            <w:vAlign w:val="center"/>
          </w:tcPr>
          <w:p w14:paraId="479EED1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5BB1999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709" w:type="dxa"/>
            <w:vAlign w:val="center"/>
          </w:tcPr>
          <w:p w14:paraId="4C81011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0368F72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70994D0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2B46E67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56043DC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34" w:type="dxa"/>
            <w:vAlign w:val="center"/>
          </w:tcPr>
          <w:p w14:paraId="5534233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876" w:type="dxa"/>
            <w:vAlign w:val="center"/>
          </w:tcPr>
          <w:p w14:paraId="16A1D28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bl>
    <w:p w14:paraId="29A2BEA9">
      <w:pPr>
        <w:spacing w:line="420" w:lineRule="exact"/>
        <w:rPr>
          <w:rFonts w:ascii="宋体" w:hAnsi="宋体" w:cs="宋体"/>
          <w:color w:val="auto"/>
          <w:szCs w:val="21"/>
          <w:highlight w:val="none"/>
        </w:rPr>
      </w:pPr>
    </w:p>
    <w:p w14:paraId="5BFDFDD4">
      <w:pPr>
        <w:spacing w:line="360" w:lineRule="auto"/>
        <w:jc w:val="center"/>
        <w:outlineLvl w:val="1"/>
        <w:rPr>
          <w:rFonts w:ascii="宋体" w:hAnsi="宋体" w:cs="宋体"/>
          <w:b/>
          <w:bCs/>
          <w:color w:val="auto"/>
          <w:sz w:val="24"/>
          <w:highlight w:val="none"/>
        </w:rPr>
      </w:pPr>
      <w:r>
        <w:rPr>
          <w:rFonts w:hint="eastAsia" w:ascii="宋体" w:hAnsi="宋体" w:cs="宋体"/>
          <w:color w:val="auto"/>
          <w:szCs w:val="21"/>
          <w:highlight w:val="none"/>
        </w:rPr>
        <w:br w:type="page"/>
      </w:r>
      <w:bookmarkStart w:id="1220" w:name="_Toc432612227"/>
      <w:bookmarkStart w:id="1221" w:name="_Toc488172189"/>
      <w:bookmarkStart w:id="1222" w:name="_Toc3998"/>
      <w:bookmarkStart w:id="1223" w:name="_Toc11627"/>
      <w:bookmarkStart w:id="1224" w:name="_Toc488482823"/>
      <w:bookmarkStart w:id="1225" w:name="_Toc4874"/>
      <w:r>
        <w:rPr>
          <w:rFonts w:hint="eastAsia" w:ascii="宋体" w:hAnsi="宋体" w:cs="宋体"/>
          <w:b/>
          <w:bCs/>
          <w:color w:val="auto"/>
          <w:sz w:val="24"/>
          <w:highlight w:val="none"/>
        </w:rPr>
        <w:t>（三）主要人员简历表</w:t>
      </w:r>
      <w:bookmarkEnd w:id="1220"/>
      <w:bookmarkEnd w:id="1221"/>
      <w:bookmarkEnd w:id="1222"/>
      <w:bookmarkEnd w:id="1223"/>
      <w:bookmarkEnd w:id="1224"/>
      <w:bookmarkEnd w:id="1225"/>
    </w:p>
    <w:p w14:paraId="30D205CB">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“主要人员简历表”包括“拟派项目经理”、“拟派技术负责人”、其他主要人员（包括设计团队、管理团队人员）。以上人员应附相应的注册类证书或执业证或上岗证书以及社保缴纳证明（</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或其不具备独立法人资格的分支机构为其缴纳的</w:t>
      </w:r>
      <w:r>
        <w:rPr>
          <w:rFonts w:hint="eastAsia" w:ascii="宋体" w:hAnsi="宋体" w:cs="宋体"/>
          <w:bCs/>
          <w:color w:val="auto"/>
          <w:szCs w:val="21"/>
          <w:highlight w:val="none"/>
          <w:lang w:eastAsia="zh-CN"/>
        </w:rPr>
        <w:t>响应文件开启</w:t>
      </w:r>
      <w:r>
        <w:rPr>
          <w:rFonts w:hint="eastAsia" w:ascii="宋体" w:hAnsi="宋体" w:cs="宋体"/>
          <w:bCs/>
          <w:color w:val="auto"/>
          <w:szCs w:val="21"/>
          <w:highlight w:val="none"/>
        </w:rPr>
        <w:t>前半年内连续3个月</w:t>
      </w:r>
      <w:r>
        <w:rPr>
          <w:rFonts w:hint="eastAsia"/>
          <w:color w:val="auto"/>
          <w:highlight w:val="none"/>
          <w:lang w:eastAsia="zh"/>
          <w:woUserID w:val="1"/>
        </w:rPr>
        <w:t>（不含开启当月）</w:t>
      </w:r>
      <w:r>
        <w:rPr>
          <w:rFonts w:hint="eastAsia" w:ascii="宋体" w:hAnsi="宋体" w:cs="宋体"/>
          <w:bCs/>
          <w:color w:val="auto"/>
          <w:szCs w:val="21"/>
          <w:highlight w:val="none"/>
        </w:rPr>
        <w:t>的社保证明材料）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0"/>
        <w:gridCol w:w="1147"/>
        <w:gridCol w:w="1321"/>
        <w:gridCol w:w="2127"/>
        <w:gridCol w:w="2139"/>
      </w:tblGrid>
      <w:tr w14:paraId="75C3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9" w:type="dxa"/>
            <w:vAlign w:val="center"/>
          </w:tcPr>
          <w:p w14:paraId="6FA4950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姓  名</w:t>
            </w:r>
          </w:p>
        </w:tc>
        <w:tc>
          <w:tcPr>
            <w:tcW w:w="1060" w:type="dxa"/>
            <w:vAlign w:val="center"/>
          </w:tcPr>
          <w:p w14:paraId="5BEC0D7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47" w:type="dxa"/>
            <w:vAlign w:val="center"/>
          </w:tcPr>
          <w:p w14:paraId="390AE3E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年  龄</w:t>
            </w:r>
          </w:p>
        </w:tc>
        <w:tc>
          <w:tcPr>
            <w:tcW w:w="1321" w:type="dxa"/>
            <w:vAlign w:val="center"/>
          </w:tcPr>
          <w:p w14:paraId="47B8A02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27" w:type="dxa"/>
            <w:vAlign w:val="center"/>
          </w:tcPr>
          <w:p w14:paraId="16FBD43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学 历</w:t>
            </w:r>
          </w:p>
        </w:tc>
        <w:tc>
          <w:tcPr>
            <w:tcW w:w="2139" w:type="dxa"/>
            <w:vAlign w:val="center"/>
          </w:tcPr>
          <w:p w14:paraId="0DA1CEF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F0D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9" w:type="dxa"/>
            <w:vAlign w:val="center"/>
          </w:tcPr>
          <w:p w14:paraId="65BEC4D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职  称</w:t>
            </w:r>
          </w:p>
        </w:tc>
        <w:tc>
          <w:tcPr>
            <w:tcW w:w="1060" w:type="dxa"/>
            <w:vAlign w:val="center"/>
          </w:tcPr>
          <w:p w14:paraId="5F81210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147" w:type="dxa"/>
            <w:vAlign w:val="center"/>
          </w:tcPr>
          <w:p w14:paraId="5C97FC7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职  务</w:t>
            </w:r>
          </w:p>
        </w:tc>
        <w:tc>
          <w:tcPr>
            <w:tcW w:w="1321" w:type="dxa"/>
            <w:vAlign w:val="center"/>
          </w:tcPr>
          <w:p w14:paraId="0A970A9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27" w:type="dxa"/>
            <w:vAlign w:val="center"/>
          </w:tcPr>
          <w:p w14:paraId="157BD35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拟在本工程任职</w:t>
            </w:r>
          </w:p>
        </w:tc>
        <w:tc>
          <w:tcPr>
            <w:tcW w:w="2139" w:type="dxa"/>
            <w:vAlign w:val="center"/>
          </w:tcPr>
          <w:p w14:paraId="509EBE2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5173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326" w:type="dxa"/>
            <w:gridSpan w:val="3"/>
            <w:vAlign w:val="center"/>
          </w:tcPr>
          <w:p w14:paraId="2C2B20C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执业资格等级</w:t>
            </w:r>
          </w:p>
        </w:tc>
        <w:tc>
          <w:tcPr>
            <w:tcW w:w="1321" w:type="dxa"/>
            <w:vAlign w:val="center"/>
          </w:tcPr>
          <w:p w14:paraId="1C14BAC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27" w:type="dxa"/>
            <w:vAlign w:val="center"/>
          </w:tcPr>
          <w:p w14:paraId="23C59C4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专业</w:t>
            </w:r>
          </w:p>
        </w:tc>
        <w:tc>
          <w:tcPr>
            <w:tcW w:w="2139" w:type="dxa"/>
            <w:vAlign w:val="center"/>
          </w:tcPr>
          <w:p w14:paraId="7B59B7A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78D7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9" w:type="dxa"/>
            <w:vAlign w:val="center"/>
          </w:tcPr>
          <w:p w14:paraId="1618E4F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毕业</w:t>
            </w:r>
          </w:p>
          <w:p w14:paraId="06C9822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学校</w:t>
            </w:r>
          </w:p>
        </w:tc>
        <w:tc>
          <w:tcPr>
            <w:tcW w:w="7794" w:type="dxa"/>
            <w:gridSpan w:val="5"/>
            <w:vAlign w:val="center"/>
          </w:tcPr>
          <w:p w14:paraId="7A0CEE4A">
            <w:pPr>
              <w:keepNext w:val="0"/>
              <w:keepLines w:val="0"/>
              <w:suppressLineNumbers w:val="0"/>
              <w:spacing w:before="0" w:beforeAutospacing="0" w:after="0" w:afterAutospacing="0"/>
              <w:ind w:left="0" w:right="0" w:firstLine="840" w:firstLineChars="400"/>
              <w:rPr>
                <w:rFonts w:hint="default" w:ascii="宋体" w:hAnsi="宋体" w:cs="宋体"/>
                <w:color w:val="auto"/>
                <w:szCs w:val="21"/>
                <w:highlight w:val="none"/>
              </w:rPr>
            </w:pPr>
            <w:r>
              <w:rPr>
                <w:rFonts w:hint="eastAsia" w:ascii="宋体" w:hAnsi="宋体" w:cs="宋体"/>
                <w:color w:val="auto"/>
                <w:szCs w:val="21"/>
                <w:highlight w:val="none"/>
              </w:rPr>
              <w:t>年毕业于                  学校            专业</w:t>
            </w:r>
          </w:p>
        </w:tc>
      </w:tr>
      <w:tr w14:paraId="3158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913" w:type="dxa"/>
            <w:gridSpan w:val="6"/>
            <w:vAlign w:val="center"/>
          </w:tcPr>
          <w:p w14:paraId="3C861C3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主要工作经历</w:t>
            </w:r>
          </w:p>
        </w:tc>
      </w:tr>
      <w:tr w14:paraId="5E47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9" w:type="dxa"/>
            <w:vAlign w:val="center"/>
          </w:tcPr>
          <w:p w14:paraId="6469527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时  间</w:t>
            </w:r>
          </w:p>
        </w:tc>
        <w:tc>
          <w:tcPr>
            <w:tcW w:w="3528" w:type="dxa"/>
            <w:gridSpan w:val="3"/>
            <w:vAlign w:val="center"/>
          </w:tcPr>
          <w:p w14:paraId="3D6EB85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参加过的类似项目名称</w:t>
            </w:r>
          </w:p>
        </w:tc>
        <w:tc>
          <w:tcPr>
            <w:tcW w:w="2127" w:type="dxa"/>
            <w:vAlign w:val="center"/>
          </w:tcPr>
          <w:p w14:paraId="139CD1D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工程概况说明</w:t>
            </w:r>
          </w:p>
        </w:tc>
        <w:tc>
          <w:tcPr>
            <w:tcW w:w="2139" w:type="dxa"/>
            <w:vAlign w:val="center"/>
          </w:tcPr>
          <w:p w14:paraId="0AB9778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发包人及联系电话</w:t>
            </w:r>
          </w:p>
        </w:tc>
      </w:tr>
      <w:tr w14:paraId="1B31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9" w:type="dxa"/>
            <w:vAlign w:val="center"/>
          </w:tcPr>
          <w:p w14:paraId="25D9FB6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28" w:type="dxa"/>
            <w:gridSpan w:val="3"/>
            <w:vAlign w:val="center"/>
          </w:tcPr>
          <w:p w14:paraId="4F49117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27" w:type="dxa"/>
            <w:vAlign w:val="center"/>
          </w:tcPr>
          <w:p w14:paraId="4733D7B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39" w:type="dxa"/>
            <w:vAlign w:val="center"/>
          </w:tcPr>
          <w:p w14:paraId="440F47A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EA5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9" w:type="dxa"/>
            <w:vAlign w:val="center"/>
          </w:tcPr>
          <w:p w14:paraId="2BF56C7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28" w:type="dxa"/>
            <w:gridSpan w:val="3"/>
            <w:vAlign w:val="center"/>
          </w:tcPr>
          <w:p w14:paraId="5720C2C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27" w:type="dxa"/>
            <w:vAlign w:val="center"/>
          </w:tcPr>
          <w:p w14:paraId="45497ED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39" w:type="dxa"/>
            <w:vAlign w:val="center"/>
          </w:tcPr>
          <w:p w14:paraId="0EA7948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4CA7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9" w:type="dxa"/>
            <w:vAlign w:val="center"/>
          </w:tcPr>
          <w:p w14:paraId="6DCBDC9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28" w:type="dxa"/>
            <w:gridSpan w:val="3"/>
            <w:vAlign w:val="center"/>
          </w:tcPr>
          <w:p w14:paraId="49E6A1C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27" w:type="dxa"/>
            <w:vAlign w:val="center"/>
          </w:tcPr>
          <w:p w14:paraId="2A492F4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39" w:type="dxa"/>
            <w:vAlign w:val="center"/>
          </w:tcPr>
          <w:p w14:paraId="5F718B8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18C6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9" w:type="dxa"/>
            <w:vAlign w:val="center"/>
          </w:tcPr>
          <w:p w14:paraId="4CF8AD5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28" w:type="dxa"/>
            <w:gridSpan w:val="3"/>
            <w:vAlign w:val="center"/>
          </w:tcPr>
          <w:p w14:paraId="64148B2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27" w:type="dxa"/>
            <w:vAlign w:val="center"/>
          </w:tcPr>
          <w:p w14:paraId="5F582E0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39" w:type="dxa"/>
            <w:vAlign w:val="center"/>
          </w:tcPr>
          <w:p w14:paraId="1634298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r w14:paraId="35CB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9" w:type="dxa"/>
            <w:vAlign w:val="center"/>
          </w:tcPr>
          <w:p w14:paraId="2192A1C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3528" w:type="dxa"/>
            <w:gridSpan w:val="3"/>
            <w:vAlign w:val="center"/>
          </w:tcPr>
          <w:p w14:paraId="4BDD313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27" w:type="dxa"/>
            <w:vAlign w:val="center"/>
          </w:tcPr>
          <w:p w14:paraId="12C6CA8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2139" w:type="dxa"/>
            <w:vAlign w:val="center"/>
          </w:tcPr>
          <w:p w14:paraId="1D88A48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bl>
    <w:p w14:paraId="057CD4D8">
      <w:pPr>
        <w:spacing w:line="520" w:lineRule="exact"/>
        <w:rPr>
          <w:rFonts w:ascii="宋体" w:hAnsi="宋体" w:cs="宋体"/>
          <w:color w:val="auto"/>
          <w:szCs w:val="21"/>
          <w:highlight w:val="none"/>
        </w:rPr>
      </w:pPr>
    </w:p>
    <w:p w14:paraId="4177A193">
      <w:pPr>
        <w:rPr>
          <w:rFonts w:ascii="宋体" w:hAnsi="宋体" w:cs="宋体"/>
          <w:color w:val="auto"/>
          <w:szCs w:val="21"/>
          <w:highlight w:val="none"/>
        </w:rPr>
      </w:pPr>
    </w:p>
    <w:p w14:paraId="24B84FB7">
      <w:pPr>
        <w:rPr>
          <w:rFonts w:ascii="宋体" w:hAnsi="宋体" w:cs="宋体"/>
          <w:color w:val="auto"/>
          <w:szCs w:val="21"/>
          <w:highlight w:val="none"/>
        </w:rPr>
      </w:pPr>
      <w:r>
        <w:rPr>
          <w:rFonts w:hint="eastAsia" w:ascii="宋体" w:hAnsi="宋体" w:cs="宋体"/>
          <w:color w:val="auto"/>
          <w:szCs w:val="21"/>
          <w:highlight w:val="none"/>
        </w:rPr>
        <w:br w:type="page"/>
      </w:r>
    </w:p>
    <w:p w14:paraId="78D7CE86">
      <w:pPr>
        <w:numPr>
          <w:ilvl w:val="0"/>
          <w:numId w:val="10"/>
        </w:numPr>
        <w:spacing w:line="360" w:lineRule="auto"/>
        <w:ind w:left="720" w:leftChars="0" w:hanging="720" w:firstLineChars="0"/>
        <w:jc w:val="center"/>
        <w:outlineLvl w:val="1"/>
        <w:rPr>
          <w:rFonts w:hint="eastAsia" w:ascii="宋体" w:hAnsi="宋体" w:cs="宋体"/>
          <w:b/>
          <w:bCs/>
          <w:color w:val="auto"/>
          <w:sz w:val="24"/>
          <w:highlight w:val="none"/>
          <w:lang w:eastAsia="zh"/>
        </w:rPr>
      </w:pPr>
      <w:bookmarkStart w:id="1226" w:name="_Toc22324"/>
      <w:bookmarkStart w:id="1227" w:name="_Toc25448"/>
      <w:bookmarkStart w:id="1228" w:name="_Toc7124"/>
      <w:r>
        <w:rPr>
          <w:rFonts w:hint="eastAsia" w:ascii="宋体" w:hAnsi="宋体" w:cs="宋体"/>
          <w:b/>
          <w:bCs/>
          <w:color w:val="auto"/>
          <w:sz w:val="24"/>
          <w:highlight w:val="none"/>
          <w:lang w:eastAsia="zh-CN"/>
        </w:rPr>
        <w:t>项目需求及技术要求</w:t>
      </w:r>
      <w:r>
        <w:rPr>
          <w:rFonts w:hint="eastAsia" w:ascii="宋体" w:hAnsi="宋体" w:cs="宋体"/>
          <w:b/>
          <w:bCs/>
          <w:color w:val="auto"/>
          <w:sz w:val="24"/>
          <w:highlight w:val="none"/>
          <w:lang w:eastAsia="zh"/>
        </w:rPr>
        <w:t>相关承诺书</w:t>
      </w:r>
      <w:bookmarkEnd w:id="1226"/>
    </w:p>
    <w:p w14:paraId="15E8625B">
      <w:pPr>
        <w:pStyle w:val="10"/>
        <w:spacing w:after="0" w:line="360" w:lineRule="auto"/>
        <w:jc w:val="center"/>
        <w:rPr>
          <w:rFonts w:hint="eastAsia" w:ascii="宋体" w:hAnsi="宋体" w:eastAsia="宋体" w:cs="宋体"/>
          <w:color w:val="auto"/>
          <w:sz w:val="24"/>
          <w:highlight w:val="none"/>
          <w:lang w:val="en-US" w:eastAsia="zh" w:bidi="ar"/>
        </w:rPr>
      </w:pPr>
      <w:r>
        <w:rPr>
          <w:rFonts w:hint="eastAsia" w:ascii="宋体" w:hAnsi="宋体" w:eastAsia="宋体" w:cs="宋体"/>
          <w:color w:val="auto"/>
          <w:sz w:val="24"/>
          <w:highlight w:val="none"/>
          <w:lang w:val="en-US" w:eastAsia="zh" w:bidi="ar"/>
        </w:rPr>
        <w:t>（自行承诺，格式</w:t>
      </w:r>
      <w:r>
        <w:rPr>
          <w:rFonts w:hint="eastAsia" w:ascii="宋体" w:hAnsi="宋体" w:eastAsia="宋体" w:cs="宋体"/>
          <w:color w:val="auto"/>
          <w:sz w:val="24"/>
          <w:highlight w:val="none"/>
          <w:lang w:val="en-US" w:eastAsia="zh" w:bidi="ar"/>
          <w:woUserID w:val="3"/>
        </w:rPr>
        <w:t>自拟</w:t>
      </w:r>
      <w:r>
        <w:rPr>
          <w:rFonts w:hint="eastAsia" w:ascii="宋体" w:hAnsi="宋体" w:eastAsia="宋体" w:cs="宋体"/>
          <w:color w:val="auto"/>
          <w:sz w:val="24"/>
          <w:highlight w:val="none"/>
          <w:lang w:val="en-US" w:eastAsia="zh" w:bidi="ar"/>
        </w:rPr>
        <w:t>）</w:t>
      </w:r>
    </w:p>
    <w:bookmarkEnd w:id="1213"/>
    <w:bookmarkEnd w:id="1214"/>
    <w:bookmarkEnd w:id="1215"/>
    <w:bookmarkEnd w:id="1216"/>
    <w:bookmarkEnd w:id="1217"/>
    <w:bookmarkEnd w:id="1218"/>
    <w:bookmarkEnd w:id="1227"/>
    <w:bookmarkEnd w:id="1228"/>
    <w:p w14:paraId="73BF2853">
      <w:pPr>
        <w:pStyle w:val="10"/>
        <w:spacing w:after="0" w:line="360" w:lineRule="auto"/>
        <w:jc w:val="left"/>
        <w:rPr>
          <w:rFonts w:hint="eastAsia" w:ascii="宋体" w:hAnsi="宋体" w:eastAsia="宋体" w:cs="宋体"/>
          <w:color w:val="auto"/>
          <w:sz w:val="24"/>
          <w:highlight w:val="none"/>
          <w:lang w:eastAsia="zh" w:bidi="ar"/>
        </w:rPr>
      </w:pPr>
      <w:bookmarkStart w:id="1229" w:name="_Toc22725"/>
      <w:bookmarkStart w:id="1230" w:name="_Toc32713"/>
      <w:bookmarkStart w:id="1231" w:name="_Toc27332"/>
      <w:bookmarkStart w:id="1232" w:name="_Toc19454"/>
      <w:bookmarkStart w:id="1233" w:name="_Toc475624464"/>
      <w:r>
        <w:rPr>
          <w:rFonts w:hint="eastAsia" w:ascii="宋体" w:hAnsi="宋体" w:eastAsia="宋体" w:cs="宋体"/>
          <w:color w:val="auto"/>
          <w:sz w:val="24"/>
          <w:highlight w:val="none"/>
          <w:lang w:eastAsia="zh" w:bidi="ar"/>
        </w:rPr>
        <w:t>1、因设备采购及安装造成原洁净室损失的、需负责恢复原样的承诺书</w:t>
      </w:r>
      <w:bookmarkEnd w:id="1229"/>
      <w:bookmarkEnd w:id="1230"/>
    </w:p>
    <w:p w14:paraId="0D93B1A0">
      <w:pPr>
        <w:pStyle w:val="10"/>
        <w:spacing w:after="0" w:line="360" w:lineRule="auto"/>
        <w:jc w:val="left"/>
        <w:rPr>
          <w:rFonts w:hint="eastAsia" w:ascii="宋体" w:hAnsi="宋体" w:eastAsia="宋体" w:cs="宋体"/>
          <w:color w:val="auto"/>
          <w:sz w:val="24"/>
          <w:highlight w:val="none"/>
          <w:lang w:eastAsia="zh" w:bidi="ar"/>
        </w:rPr>
      </w:pPr>
      <w:r>
        <w:rPr>
          <w:rFonts w:hint="eastAsia" w:ascii="宋体" w:hAnsi="宋体" w:eastAsia="宋体" w:cs="宋体"/>
          <w:color w:val="auto"/>
          <w:sz w:val="24"/>
          <w:highlight w:val="none"/>
          <w:lang w:eastAsia="zh" w:bidi="ar"/>
        </w:rPr>
        <w:t>2、供应商需提供质量保证承诺及维修响应承诺，所有设备和配件质量保证期要求2年全免费上门质保，设备故障报修后24小时内响应，保修期后供货商应负责上门维修。</w:t>
      </w:r>
    </w:p>
    <w:p w14:paraId="1E075998">
      <w:pPr>
        <w:pStyle w:val="10"/>
        <w:spacing w:after="0" w:line="360" w:lineRule="auto"/>
        <w:jc w:val="left"/>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 w:bidi="ar"/>
        </w:rPr>
        <w:t>3、</w:t>
      </w:r>
      <w:r>
        <w:rPr>
          <w:rFonts w:hint="eastAsia" w:ascii="宋体" w:hAnsi="宋体" w:eastAsia="宋体" w:cs="宋体"/>
          <w:color w:val="auto"/>
          <w:sz w:val="24"/>
          <w:highlight w:val="none"/>
          <w:lang w:val="en-US" w:eastAsia="zh-CN" w:bidi="ar"/>
        </w:rPr>
        <w:t>因发包人单位性质，需要按照国家、省级项目资金支付规定执行，承包人应对此清楚知晓，如因以上原因导致无法按时支付款项的，承包人承诺不追究发包人违约责任。</w:t>
      </w:r>
    </w:p>
    <w:p w14:paraId="4895A67A">
      <w:pPr>
        <w:pStyle w:val="10"/>
        <w:spacing w:after="0" w:line="360" w:lineRule="auto"/>
        <w:jc w:val="left"/>
        <w:rPr>
          <w:rFonts w:hint="eastAsia" w:ascii="宋体" w:hAnsi="宋体" w:eastAsia="宋体" w:cs="宋体"/>
          <w:color w:val="auto"/>
          <w:sz w:val="24"/>
          <w:highlight w:val="none"/>
          <w:lang w:val="en-US" w:eastAsia="zh" w:bidi="ar"/>
        </w:rPr>
      </w:pPr>
      <w:r>
        <w:rPr>
          <w:rFonts w:hint="eastAsia" w:ascii="宋体" w:hAnsi="宋体" w:eastAsia="宋体" w:cs="宋体"/>
          <w:color w:val="auto"/>
          <w:sz w:val="24"/>
          <w:highlight w:val="none"/>
          <w:lang w:val="en-US" w:eastAsia="zh-CN" w:bidi="ar"/>
        </w:rPr>
        <w:t>4</w:t>
      </w:r>
      <w:r>
        <w:rPr>
          <w:rFonts w:hint="eastAsia" w:ascii="宋体" w:hAnsi="宋体" w:eastAsia="宋体" w:cs="宋体"/>
          <w:color w:val="auto"/>
          <w:sz w:val="24"/>
          <w:highlight w:val="none"/>
          <w:lang w:val="en-US" w:eastAsia="zh" w:bidi="ar"/>
        </w:rPr>
        <w:t>、</w:t>
      </w:r>
      <w:r>
        <w:rPr>
          <w:rFonts w:hint="eastAsia" w:ascii="宋体" w:hAnsi="宋体" w:eastAsia="宋体" w:cs="宋体"/>
          <w:color w:val="auto"/>
          <w:sz w:val="24"/>
          <w:highlight w:val="none"/>
          <w:lang w:val="en-US" w:eastAsia="zh-CN" w:bidi="ar"/>
        </w:rPr>
        <w:t>供应商</w:t>
      </w:r>
      <w:r>
        <w:rPr>
          <w:rFonts w:hint="eastAsia" w:ascii="宋体" w:hAnsi="宋体" w:eastAsia="宋体" w:cs="宋体"/>
          <w:color w:val="auto"/>
          <w:sz w:val="24"/>
          <w:highlight w:val="none"/>
          <w:lang w:val="en-US" w:eastAsia="zh" w:bidi="ar"/>
        </w:rPr>
        <w:t>认为需要提交的其他承诺。</w:t>
      </w:r>
    </w:p>
    <w:p w14:paraId="507839F9">
      <w:pP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14:paraId="4D53C8AC">
      <w:pPr>
        <w:pStyle w:val="3"/>
        <w:rPr>
          <w:rFonts w:ascii="宋体" w:hAnsi="宋体" w:cs="宋体"/>
          <w:color w:val="auto"/>
          <w:szCs w:val="28"/>
          <w:highlight w:val="none"/>
        </w:rPr>
      </w:pPr>
      <w:bookmarkStart w:id="1234" w:name="_Toc14109"/>
      <w:r>
        <w:rPr>
          <w:rFonts w:hint="eastAsia" w:ascii="宋体" w:hAnsi="宋体" w:cs="宋体"/>
          <w:color w:val="auto"/>
          <w:szCs w:val="28"/>
          <w:highlight w:val="none"/>
        </w:rPr>
        <w:t>九、其他材料</w:t>
      </w:r>
      <w:bookmarkEnd w:id="1231"/>
      <w:bookmarkEnd w:id="1232"/>
      <w:bookmarkEnd w:id="1234"/>
    </w:p>
    <w:bookmarkEnd w:id="1233"/>
    <w:p w14:paraId="4FF92ED5">
      <w:pPr>
        <w:spacing w:line="360" w:lineRule="auto"/>
        <w:jc w:val="center"/>
        <w:outlineLvl w:val="1"/>
        <w:rPr>
          <w:rFonts w:ascii="宋体" w:hAnsi="宋体" w:cs="宋体"/>
          <w:b/>
          <w:bCs/>
          <w:color w:val="auto"/>
          <w:sz w:val="24"/>
          <w:highlight w:val="none"/>
        </w:rPr>
      </w:pPr>
      <w:bookmarkStart w:id="1235" w:name="_Toc31966"/>
      <w:bookmarkStart w:id="1236" w:name="_Toc7697"/>
      <w:bookmarkStart w:id="1237" w:name="_Toc4906"/>
      <w:r>
        <w:rPr>
          <w:rFonts w:hint="eastAsia" w:ascii="宋体" w:hAnsi="宋体" w:cs="宋体"/>
          <w:b/>
          <w:bCs/>
          <w:color w:val="auto"/>
          <w:sz w:val="24"/>
          <w:highlight w:val="none"/>
        </w:rPr>
        <w:t>（一）反商业贿赂承诺书</w:t>
      </w:r>
      <w:bookmarkEnd w:id="1235"/>
      <w:bookmarkEnd w:id="1236"/>
      <w:bookmarkEnd w:id="1237"/>
    </w:p>
    <w:p w14:paraId="32E9DD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我公司承诺：在</w:t>
      </w:r>
      <w:r>
        <w:rPr>
          <w:rFonts w:hint="eastAsia" w:ascii="宋体" w:hAnsi="宋体" w:cs="宋体"/>
          <w:color w:val="auto"/>
          <w:szCs w:val="21"/>
          <w:highlight w:val="none"/>
          <w:lang w:eastAsia="zh"/>
          <w:woUserID w:val="3"/>
        </w:rPr>
        <w:t>采购</w:t>
      </w:r>
      <w:r>
        <w:rPr>
          <w:rFonts w:hint="eastAsia" w:ascii="宋体" w:hAnsi="宋体" w:cs="宋体"/>
          <w:color w:val="auto"/>
          <w:szCs w:val="21"/>
          <w:highlight w:val="none"/>
        </w:rPr>
        <w:t>活动中，我公司保证做到：</w:t>
      </w:r>
    </w:p>
    <w:p w14:paraId="58E6B8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一、公平竞争参加本次</w:t>
      </w:r>
      <w:r>
        <w:rPr>
          <w:rFonts w:hint="eastAsia" w:ascii="宋体" w:hAnsi="宋体" w:cs="宋体"/>
          <w:color w:val="auto"/>
          <w:szCs w:val="21"/>
          <w:highlight w:val="none"/>
          <w:lang w:eastAsia="zh-CN"/>
        </w:rPr>
        <w:t>政府采购</w:t>
      </w:r>
      <w:r>
        <w:rPr>
          <w:rFonts w:hint="eastAsia" w:ascii="宋体" w:hAnsi="宋体" w:cs="宋体"/>
          <w:color w:val="auto"/>
          <w:szCs w:val="21"/>
          <w:highlight w:val="none"/>
        </w:rPr>
        <w:t xml:space="preserve">活动。 </w:t>
      </w:r>
    </w:p>
    <w:p w14:paraId="163F95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24013E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三、若出现上述行为，我公司及参与</w:t>
      </w:r>
      <w:r>
        <w:rPr>
          <w:rFonts w:hint="eastAsia" w:ascii="宋体" w:hAnsi="宋体" w:cs="宋体"/>
          <w:color w:val="auto"/>
          <w:szCs w:val="21"/>
          <w:highlight w:val="none"/>
          <w:lang w:eastAsia="zh-CN"/>
        </w:rPr>
        <w:t>竞争性磋商</w:t>
      </w:r>
      <w:r>
        <w:rPr>
          <w:rFonts w:hint="eastAsia" w:ascii="宋体" w:hAnsi="宋体" w:cs="宋体"/>
          <w:color w:val="auto"/>
          <w:szCs w:val="21"/>
          <w:highlight w:val="none"/>
        </w:rPr>
        <w:t xml:space="preserve">的工作人员愿意接受按照国家法律法规等有关规定给予的处罚。 </w:t>
      </w:r>
    </w:p>
    <w:p w14:paraId="028F35C6">
      <w:pPr>
        <w:spacing w:line="360" w:lineRule="auto"/>
        <w:ind w:firstLine="3998" w:firstLineChars="1904"/>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（盖章）</w:t>
      </w:r>
    </w:p>
    <w:p w14:paraId="333D2851">
      <w:pPr>
        <w:spacing w:line="360" w:lineRule="auto"/>
        <w:ind w:firstLine="3998" w:firstLineChars="1904"/>
        <w:rPr>
          <w:rFonts w:ascii="宋体" w:hAnsi="宋体" w:cs="宋体"/>
          <w:color w:val="auto"/>
          <w:szCs w:val="21"/>
          <w:highlight w:val="none"/>
        </w:rPr>
      </w:pPr>
      <w:r>
        <w:rPr>
          <w:rFonts w:hint="eastAsia" w:ascii="宋体" w:hAnsi="宋体" w:cs="宋体"/>
          <w:color w:val="auto"/>
          <w:szCs w:val="21"/>
          <w:highlight w:val="none"/>
        </w:rPr>
        <w:t>法定代表人或其授权委托人：</w:t>
      </w:r>
      <w:r>
        <w:rPr>
          <w:rFonts w:hint="eastAsia" w:ascii="宋体" w:hAnsi="宋体" w:cs="宋体"/>
          <w:color w:val="auto"/>
          <w:szCs w:val="21"/>
          <w:highlight w:val="none"/>
          <w:u w:val="single"/>
        </w:rPr>
        <w:t xml:space="preserve">     （签字或盖章）</w:t>
      </w:r>
    </w:p>
    <w:p w14:paraId="6CC9471F">
      <w:pPr>
        <w:spacing w:line="360" w:lineRule="auto"/>
        <w:ind w:firstLine="3998" w:firstLineChars="1904"/>
        <w:rPr>
          <w:rFonts w:ascii="宋体" w:hAnsi="宋体" w:cs="宋体"/>
          <w:color w:val="auto"/>
          <w:sz w:val="24"/>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年   月   日</w:t>
      </w:r>
    </w:p>
    <w:p w14:paraId="3FBF6FC1">
      <w:pPr>
        <w:spacing w:line="360" w:lineRule="auto"/>
        <w:ind w:firstLine="420" w:firstLineChars="200"/>
        <w:rPr>
          <w:rFonts w:ascii="宋体" w:hAnsi="宋体" w:cs="宋体"/>
          <w:color w:val="auto"/>
          <w:szCs w:val="21"/>
          <w:highlight w:val="none"/>
        </w:rPr>
      </w:pPr>
    </w:p>
    <w:p w14:paraId="0B02B395">
      <w:pPr>
        <w:rPr>
          <w:color w:val="auto"/>
          <w:highlight w:val="none"/>
        </w:rPr>
      </w:pPr>
    </w:p>
    <w:p w14:paraId="7147E9FD">
      <w:pPr>
        <w:rPr>
          <w:rFonts w:hAnsi="宋体"/>
          <w:color w:val="auto"/>
          <w:highlight w:val="none"/>
        </w:rPr>
      </w:pPr>
      <w:r>
        <w:rPr>
          <w:rFonts w:hint="eastAsia" w:hAnsi="宋体"/>
          <w:color w:val="auto"/>
          <w:highlight w:val="none"/>
        </w:rPr>
        <w:br w:type="page"/>
      </w:r>
    </w:p>
    <w:p w14:paraId="4CCD59C2">
      <w:pPr>
        <w:pStyle w:val="10"/>
        <w:jc w:val="center"/>
        <w:outlineLvl w:val="1"/>
        <w:rPr>
          <w:rFonts w:ascii="宋体" w:hAnsi="宋体" w:cs="宋体"/>
          <w:color w:val="auto"/>
          <w:spacing w:val="-2"/>
          <w:sz w:val="21"/>
          <w:szCs w:val="21"/>
          <w:highlight w:val="none"/>
        </w:rPr>
      </w:pPr>
      <w:bookmarkStart w:id="1238" w:name="_Toc4507"/>
      <w:bookmarkStart w:id="1239" w:name="_Toc17609"/>
      <w:bookmarkStart w:id="1240" w:name="_Toc5399"/>
      <w:bookmarkStart w:id="1241" w:name="_Toc26711"/>
      <w:bookmarkStart w:id="1242" w:name="_Toc9190"/>
      <w:bookmarkStart w:id="1243" w:name="_Toc22557"/>
      <w:bookmarkStart w:id="1244" w:name="_Toc1720"/>
      <w:r>
        <w:rPr>
          <w:rFonts w:hint="eastAsia" w:ascii="宋体" w:hAnsi="宋体" w:cs="宋体"/>
          <w:b/>
          <w:bCs/>
          <w:color w:val="auto"/>
          <w:sz w:val="24"/>
          <w:highlight w:val="none"/>
        </w:rPr>
        <w:t>（二）中小企业声明函</w:t>
      </w:r>
      <w:bookmarkEnd w:id="1238"/>
      <w:bookmarkEnd w:id="1239"/>
      <w:bookmarkEnd w:id="1240"/>
      <w:bookmarkEnd w:id="1241"/>
      <w:bookmarkEnd w:id="1242"/>
      <w:bookmarkEnd w:id="1243"/>
      <w:bookmarkEnd w:id="1244"/>
    </w:p>
    <w:p w14:paraId="12ECD182">
      <w:pPr>
        <w:spacing w:line="560" w:lineRule="exact"/>
        <w:ind w:firstLine="42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采购活动，工程的</w:t>
      </w:r>
      <w:r>
        <w:rPr>
          <w:rFonts w:hint="eastAsia" w:ascii="宋体" w:hAnsi="宋体"/>
          <w:color w:val="auto"/>
          <w:highlight w:val="none"/>
          <w:lang w:eastAsia="zh"/>
          <w:woUserID w:val="1"/>
        </w:rPr>
        <w:t>设计、</w:t>
      </w:r>
      <w:r>
        <w:rPr>
          <w:rFonts w:ascii="宋体" w:hAnsi="宋体"/>
          <w:color w:val="auto"/>
          <w:highlight w:val="none"/>
        </w:rPr>
        <w:t>施工单位全部为符合政策要求的中小企业（或者：服务全部由符合政策要求的中小企业承接）。相关企业（含联合体中的中小企业、签订分包意向协议的中小企业）的具体情况如下：</w:t>
      </w:r>
    </w:p>
    <w:p w14:paraId="3FA8FD74">
      <w:pPr>
        <w:spacing w:line="560" w:lineRule="exact"/>
        <w:ind w:firstLine="420" w:firstLineChars="200"/>
        <w:rPr>
          <w:rFonts w:ascii="宋体" w:hAnsi="宋体"/>
          <w:color w:val="auto"/>
          <w:highlight w:val="none"/>
        </w:rPr>
      </w:pPr>
      <w:r>
        <w:rPr>
          <w:rFonts w:ascii="宋体" w:hAnsi="宋体"/>
          <w:color w:val="auto"/>
          <w:highlight w:val="none"/>
        </w:rPr>
        <w:t>1.</w:t>
      </w:r>
      <w:r>
        <w:rPr>
          <w:rFonts w:ascii="宋体" w:hAnsi="宋体"/>
          <w:color w:val="auto"/>
          <w:highlight w:val="none"/>
          <w:u w:val="single"/>
        </w:rPr>
        <w:t>（标的名称）</w:t>
      </w:r>
      <w:r>
        <w:rPr>
          <w:rFonts w:ascii="宋体" w:hAnsi="宋体"/>
          <w:color w:val="auto"/>
          <w:highlight w:val="none"/>
        </w:rPr>
        <w:t>，属于</w:t>
      </w:r>
      <w:r>
        <w:rPr>
          <w:rFonts w:ascii="宋体" w:hAnsi="宋体"/>
          <w:color w:val="auto"/>
          <w:highlight w:val="none"/>
          <w:u w:val="single"/>
        </w:rPr>
        <w:t>（采购文件中明确的所属行业）</w:t>
      </w:r>
      <w:r>
        <w:rPr>
          <w:rFonts w:ascii="宋体" w:hAnsi="宋体"/>
          <w:color w:val="auto"/>
          <w:highlight w:val="none"/>
        </w:rPr>
        <w:t>；承建（承接）企业为</w:t>
      </w:r>
      <w:r>
        <w:rPr>
          <w:rFonts w:ascii="宋体" w:hAnsi="宋体"/>
          <w:color w:val="auto"/>
          <w:highlight w:val="none"/>
          <w:u w:val="single"/>
        </w:rPr>
        <w:t>（企业名称）</w:t>
      </w:r>
      <w:r>
        <w:rPr>
          <w:rFonts w:ascii="宋体" w:hAnsi="宋体"/>
          <w:color w:val="auto"/>
          <w:highlight w:val="none"/>
        </w:rPr>
        <w:t>，从业人员</w:t>
      </w:r>
      <w:r>
        <w:rPr>
          <w:rFonts w:hint="eastAsia" w:ascii="宋体" w:hAnsi="宋体"/>
          <w:color w:val="auto"/>
          <w:highlight w:val="none"/>
          <w:u w:val="single"/>
        </w:rPr>
        <w:t xml:space="preserve">   </w:t>
      </w:r>
      <w:r>
        <w:rPr>
          <w:rFonts w:ascii="宋体" w:hAnsi="宋体"/>
          <w:color w:val="auto"/>
          <w:highlight w:val="none"/>
        </w:rPr>
        <w:t>人，营业收入为</w:t>
      </w:r>
      <w:r>
        <w:rPr>
          <w:rFonts w:hint="eastAsia" w:ascii="宋体" w:hAnsi="宋体"/>
          <w:color w:val="auto"/>
          <w:highlight w:val="none"/>
          <w:u w:val="single"/>
        </w:rPr>
        <w:t xml:space="preserve">     </w:t>
      </w:r>
      <w:r>
        <w:rPr>
          <w:rFonts w:ascii="宋体" w:hAnsi="宋体"/>
          <w:color w:val="auto"/>
          <w:highlight w:val="none"/>
        </w:rPr>
        <w:t>万元，资产总额为</w:t>
      </w:r>
      <w:r>
        <w:rPr>
          <w:rFonts w:hint="eastAsia" w:ascii="宋体" w:hAnsi="宋体"/>
          <w:color w:val="auto"/>
          <w:highlight w:val="none"/>
          <w:u w:val="single"/>
        </w:rPr>
        <w:t xml:space="preserve">      </w:t>
      </w:r>
      <w:r>
        <w:rPr>
          <w:rFonts w:ascii="宋体" w:hAnsi="宋体"/>
          <w:color w:val="auto"/>
          <w:highlight w:val="none"/>
        </w:rPr>
        <w:t>万元，属于</w:t>
      </w:r>
      <w:r>
        <w:rPr>
          <w:rFonts w:ascii="宋体" w:hAnsi="宋体"/>
          <w:color w:val="auto"/>
          <w:highlight w:val="none"/>
          <w:u w:val="single"/>
        </w:rPr>
        <w:t>（中型企业、小型企业、微型企业</w:t>
      </w:r>
      <w:r>
        <w:rPr>
          <w:rFonts w:ascii="宋体" w:hAnsi="宋体"/>
          <w:color w:val="auto"/>
          <w:highlight w:val="none"/>
        </w:rPr>
        <w:t>）；</w:t>
      </w:r>
    </w:p>
    <w:p w14:paraId="415EC3A0">
      <w:pPr>
        <w:spacing w:line="560" w:lineRule="exact"/>
        <w:ind w:firstLine="420" w:firstLineChars="200"/>
        <w:rPr>
          <w:rFonts w:ascii="宋体" w:hAnsi="宋体"/>
          <w:color w:val="auto"/>
          <w:highlight w:val="none"/>
        </w:rPr>
      </w:pPr>
      <w:r>
        <w:rPr>
          <w:rFonts w:ascii="宋体" w:hAnsi="宋体"/>
          <w:color w:val="auto"/>
          <w:highlight w:val="none"/>
        </w:rPr>
        <w:t>2.</w:t>
      </w:r>
      <w:r>
        <w:rPr>
          <w:rFonts w:ascii="宋体" w:hAnsi="宋体"/>
          <w:color w:val="auto"/>
          <w:highlight w:val="none"/>
          <w:u w:val="single"/>
        </w:rPr>
        <w:t>（标的名称）</w:t>
      </w:r>
      <w:r>
        <w:rPr>
          <w:rFonts w:ascii="宋体" w:hAnsi="宋体"/>
          <w:color w:val="auto"/>
          <w:highlight w:val="none"/>
        </w:rPr>
        <w:t>，属于</w:t>
      </w:r>
      <w:r>
        <w:rPr>
          <w:rFonts w:ascii="宋体" w:hAnsi="宋体"/>
          <w:color w:val="auto"/>
          <w:highlight w:val="none"/>
          <w:u w:val="single"/>
        </w:rPr>
        <w:t>（采购文件中明确的所属行业）</w:t>
      </w:r>
      <w:r>
        <w:rPr>
          <w:rFonts w:ascii="宋体" w:hAnsi="宋体"/>
          <w:color w:val="auto"/>
          <w:highlight w:val="none"/>
        </w:rPr>
        <w:t>；承建（承接）企业为</w:t>
      </w:r>
      <w:r>
        <w:rPr>
          <w:rFonts w:ascii="宋体" w:hAnsi="宋体"/>
          <w:color w:val="auto"/>
          <w:highlight w:val="none"/>
          <w:u w:val="single"/>
        </w:rPr>
        <w:t>（企业名称）</w:t>
      </w:r>
      <w:r>
        <w:rPr>
          <w:rFonts w:ascii="宋体" w:hAnsi="宋体"/>
          <w:color w:val="auto"/>
          <w:highlight w:val="none"/>
        </w:rPr>
        <w:t>，从业人员</w:t>
      </w:r>
      <w:r>
        <w:rPr>
          <w:rFonts w:hint="eastAsia" w:ascii="宋体" w:hAnsi="宋体"/>
          <w:color w:val="auto"/>
          <w:highlight w:val="none"/>
          <w:u w:val="single"/>
        </w:rPr>
        <w:t xml:space="preserve">     </w:t>
      </w:r>
      <w:r>
        <w:rPr>
          <w:rFonts w:ascii="宋体" w:hAnsi="宋体"/>
          <w:color w:val="auto"/>
          <w:highlight w:val="none"/>
        </w:rPr>
        <w:t>人，营业收入为</w:t>
      </w:r>
      <w:r>
        <w:rPr>
          <w:rFonts w:hint="eastAsia" w:ascii="宋体" w:hAnsi="宋体"/>
          <w:color w:val="auto"/>
          <w:highlight w:val="none"/>
          <w:u w:val="single"/>
        </w:rPr>
        <w:t xml:space="preserve">     </w:t>
      </w:r>
      <w:r>
        <w:rPr>
          <w:rFonts w:ascii="宋体" w:hAnsi="宋体"/>
          <w:color w:val="auto"/>
          <w:highlight w:val="none"/>
        </w:rPr>
        <w:t>万元，资产总额为</w:t>
      </w:r>
      <w:r>
        <w:rPr>
          <w:rFonts w:hint="eastAsia" w:ascii="宋体" w:hAnsi="宋体"/>
          <w:color w:val="auto"/>
          <w:highlight w:val="none"/>
          <w:u w:val="single"/>
        </w:rPr>
        <w:t xml:space="preserve">     </w:t>
      </w:r>
      <w:r>
        <w:rPr>
          <w:rFonts w:ascii="宋体" w:hAnsi="宋体"/>
          <w:color w:val="auto"/>
          <w:highlight w:val="none"/>
        </w:rPr>
        <w:t>万元，属于</w:t>
      </w:r>
      <w:r>
        <w:rPr>
          <w:rFonts w:ascii="宋体" w:hAnsi="宋体"/>
          <w:color w:val="auto"/>
          <w:highlight w:val="none"/>
          <w:u w:val="single"/>
        </w:rPr>
        <w:t>（中型企业、小型企业、微型企业）</w:t>
      </w:r>
      <w:r>
        <w:rPr>
          <w:rFonts w:ascii="宋体" w:hAnsi="宋体"/>
          <w:color w:val="auto"/>
          <w:highlight w:val="none"/>
        </w:rPr>
        <w:t>；</w:t>
      </w:r>
    </w:p>
    <w:p w14:paraId="27E8188A">
      <w:pPr>
        <w:spacing w:line="560" w:lineRule="exact"/>
        <w:ind w:firstLine="420" w:firstLineChars="200"/>
        <w:rPr>
          <w:rFonts w:ascii="宋体" w:hAnsi="宋体"/>
          <w:color w:val="auto"/>
          <w:highlight w:val="none"/>
        </w:rPr>
      </w:pPr>
      <w:r>
        <w:rPr>
          <w:rFonts w:ascii="宋体" w:hAnsi="宋体"/>
          <w:color w:val="auto"/>
          <w:highlight w:val="none"/>
        </w:rPr>
        <w:t>……</w:t>
      </w:r>
    </w:p>
    <w:p w14:paraId="3513486D">
      <w:pPr>
        <w:spacing w:line="560" w:lineRule="exact"/>
        <w:ind w:firstLine="420" w:firstLineChars="200"/>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47C58176">
      <w:pPr>
        <w:spacing w:line="560" w:lineRule="exact"/>
        <w:ind w:firstLine="420" w:firstLineChars="200"/>
        <w:rPr>
          <w:rFonts w:ascii="宋体" w:hAnsi="宋体"/>
          <w:color w:val="auto"/>
          <w:szCs w:val="21"/>
          <w:highlight w:val="none"/>
        </w:rPr>
      </w:pPr>
      <w:r>
        <w:rPr>
          <w:rFonts w:ascii="宋体" w:hAnsi="宋体"/>
          <w:color w:val="auto"/>
          <w:highlight w:val="none"/>
        </w:rPr>
        <w:t>本企业对上述声明内容的真实性负责。如有虚假，将依法承担相应责任。</w:t>
      </w:r>
    </w:p>
    <w:p w14:paraId="437F8423">
      <w:pPr>
        <w:spacing w:line="560" w:lineRule="exact"/>
        <w:rPr>
          <w:rFonts w:ascii="宋体" w:hAnsi="宋体"/>
          <w:color w:val="auto"/>
          <w:szCs w:val="21"/>
          <w:highlight w:val="none"/>
        </w:rPr>
      </w:pPr>
    </w:p>
    <w:p w14:paraId="7A73DF2E">
      <w:pPr>
        <w:spacing w:line="560" w:lineRule="exact"/>
        <w:ind w:firstLine="420" w:firstLineChars="200"/>
        <w:jc w:val="right"/>
        <w:rPr>
          <w:rFonts w:ascii="宋体" w:hAnsi="宋体"/>
          <w:color w:val="auto"/>
          <w:highlight w:val="none"/>
        </w:rPr>
      </w:pPr>
      <w:r>
        <w:rPr>
          <w:rFonts w:hint="eastAsia" w:ascii="宋体" w:hAnsi="宋体"/>
          <w:color w:val="auto"/>
          <w:highlight w:val="none"/>
        </w:rPr>
        <w:t>企业名称（</w:t>
      </w:r>
      <w:r>
        <w:rPr>
          <w:rFonts w:hint="eastAsia" w:ascii="宋体" w:hAnsi="宋体" w:cs="宋体"/>
          <w:color w:val="auto"/>
          <w:szCs w:val="21"/>
          <w:highlight w:val="none"/>
        </w:rPr>
        <w:t>盖章</w:t>
      </w:r>
      <w:r>
        <w:rPr>
          <w:rFonts w:hint="eastAsia" w:ascii="宋体" w:hAnsi="宋体"/>
          <w:color w:val="auto"/>
          <w:highlight w:val="none"/>
        </w:rPr>
        <w:t xml:space="preserve">）： </w:t>
      </w:r>
    </w:p>
    <w:p w14:paraId="21157619">
      <w:pPr>
        <w:spacing w:line="560" w:lineRule="exact"/>
        <w:ind w:firstLine="420" w:firstLineChars="200"/>
        <w:jc w:val="right"/>
        <w:rPr>
          <w:rFonts w:hAnsi="宋体"/>
          <w:color w:val="auto"/>
          <w:szCs w:val="21"/>
          <w:highlight w:val="none"/>
          <w:lang w:bidi="zh-CN"/>
        </w:rPr>
      </w:pPr>
      <w:r>
        <w:rPr>
          <w:rFonts w:hint="eastAsia" w:ascii="宋体" w:hAnsi="宋体"/>
          <w:color w:val="auto"/>
          <w:highlight w:val="none"/>
        </w:rPr>
        <w:t>日  期：</w:t>
      </w:r>
    </w:p>
    <w:p w14:paraId="0257B954">
      <w:pPr>
        <w:pStyle w:val="50"/>
        <w:autoSpaceDE/>
        <w:autoSpaceDN/>
        <w:adjustRightInd/>
        <w:spacing w:line="360" w:lineRule="auto"/>
        <w:rPr>
          <w:rFonts w:hAnsi="宋体"/>
          <w:color w:val="auto"/>
          <w:kern w:val="2"/>
          <w:sz w:val="21"/>
          <w:szCs w:val="21"/>
          <w:highlight w:val="none"/>
          <w:lang w:bidi="zh-CN"/>
        </w:rPr>
      </w:pPr>
    </w:p>
    <w:p w14:paraId="48EF7902">
      <w:pPr>
        <w:pStyle w:val="50"/>
        <w:autoSpaceDE/>
        <w:autoSpaceDN/>
        <w:adjustRightInd/>
        <w:spacing w:line="360" w:lineRule="auto"/>
        <w:rPr>
          <w:rFonts w:hAnsi="宋体"/>
          <w:color w:val="auto"/>
          <w:kern w:val="2"/>
          <w:sz w:val="21"/>
          <w:szCs w:val="21"/>
          <w:highlight w:val="none"/>
          <w:lang w:bidi="zh-CN"/>
        </w:rPr>
      </w:pPr>
    </w:p>
    <w:p w14:paraId="3234018F">
      <w:pPr>
        <w:pStyle w:val="50"/>
        <w:autoSpaceDE/>
        <w:autoSpaceDN/>
        <w:adjustRightInd/>
        <w:spacing w:line="360" w:lineRule="auto"/>
        <w:rPr>
          <w:rFonts w:hAnsi="宋体"/>
          <w:color w:val="auto"/>
          <w:kern w:val="2"/>
          <w:sz w:val="21"/>
          <w:szCs w:val="21"/>
          <w:highlight w:val="none"/>
          <w:lang w:bidi="zh-CN"/>
        </w:rPr>
      </w:pPr>
      <w:r>
        <w:rPr>
          <w:rFonts w:hint="eastAsia" w:hAnsi="宋体"/>
          <w:color w:val="auto"/>
          <w:kern w:val="2"/>
          <w:sz w:val="21"/>
          <w:szCs w:val="21"/>
          <w:highlight w:val="none"/>
          <w:lang w:bidi="zh-CN"/>
        </w:rPr>
        <w:t>从业人员、营业收入、资产总额填报上一年度数据，无上一年度数据的新成立企业可不填报。</w:t>
      </w:r>
    </w:p>
    <w:p w14:paraId="7C4CBE4D">
      <w:pPr>
        <w:wordWrap w:val="0"/>
        <w:spacing w:line="360" w:lineRule="auto"/>
        <w:jc w:val="right"/>
        <w:rPr>
          <w:rFonts w:ascii="宋体" w:hAnsi="宋体" w:cs="宋体"/>
          <w:color w:val="auto"/>
          <w:szCs w:val="21"/>
          <w:highlight w:val="none"/>
          <w:lang w:bidi="zh-CN"/>
        </w:rPr>
      </w:pPr>
    </w:p>
    <w:p w14:paraId="64C142C3">
      <w:pPr>
        <w:pStyle w:val="50"/>
        <w:spacing w:line="520" w:lineRule="exact"/>
        <w:jc w:val="both"/>
        <w:rPr>
          <w:rFonts w:hAnsi="宋体"/>
          <w:color w:val="auto"/>
          <w:kern w:val="2"/>
          <w:highlight w:val="none"/>
        </w:rPr>
      </w:pPr>
    </w:p>
    <w:p w14:paraId="5AD25339">
      <w:pPr>
        <w:pStyle w:val="50"/>
        <w:spacing w:line="520" w:lineRule="exact"/>
        <w:jc w:val="both"/>
        <w:rPr>
          <w:rFonts w:hAnsi="宋体"/>
          <w:color w:val="auto"/>
          <w:kern w:val="2"/>
          <w:highlight w:val="none"/>
        </w:rPr>
      </w:pPr>
      <w:r>
        <w:rPr>
          <w:rFonts w:hint="eastAsia" w:hAnsi="宋体"/>
          <w:color w:val="auto"/>
          <w:kern w:val="2"/>
          <w:highlight w:val="none"/>
        </w:rPr>
        <w:br w:type="page"/>
      </w:r>
    </w:p>
    <w:p w14:paraId="3EFD56A6">
      <w:pPr>
        <w:pStyle w:val="10"/>
        <w:jc w:val="center"/>
        <w:outlineLvl w:val="1"/>
        <w:rPr>
          <w:rFonts w:ascii="宋体" w:hAnsi="宋体" w:cs="宋体"/>
          <w:b/>
          <w:bCs/>
          <w:color w:val="auto"/>
          <w:sz w:val="24"/>
          <w:highlight w:val="none"/>
        </w:rPr>
      </w:pPr>
      <w:bookmarkStart w:id="1245" w:name="_Toc19813"/>
      <w:bookmarkStart w:id="1246" w:name="_Toc10857"/>
      <w:bookmarkStart w:id="1247" w:name="_Toc8042"/>
      <w:bookmarkStart w:id="1248" w:name="_Toc23185"/>
      <w:bookmarkStart w:id="1249" w:name="_Toc11407"/>
      <w:bookmarkStart w:id="1250" w:name="_Toc294"/>
      <w:bookmarkStart w:id="1251" w:name="_Toc19530"/>
      <w:r>
        <w:rPr>
          <w:rFonts w:hint="eastAsia" w:ascii="宋体" w:hAnsi="宋体" w:cs="宋体"/>
          <w:b/>
          <w:bCs/>
          <w:color w:val="auto"/>
          <w:sz w:val="24"/>
          <w:highlight w:val="none"/>
        </w:rPr>
        <w:t>（三）残疾人福利性单位声明函</w:t>
      </w:r>
      <w:bookmarkEnd w:id="1245"/>
      <w:bookmarkEnd w:id="1246"/>
      <w:bookmarkEnd w:id="1247"/>
      <w:bookmarkEnd w:id="1248"/>
      <w:bookmarkEnd w:id="1249"/>
      <w:bookmarkEnd w:id="1250"/>
      <w:bookmarkEnd w:id="1251"/>
    </w:p>
    <w:p w14:paraId="39E5FF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1C8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57C8C9BE">
      <w:pPr>
        <w:spacing w:line="360" w:lineRule="auto"/>
        <w:ind w:firstLine="420" w:firstLineChars="200"/>
        <w:rPr>
          <w:rFonts w:ascii="宋体" w:hAnsi="宋体" w:cs="宋体"/>
          <w:color w:val="auto"/>
          <w:szCs w:val="21"/>
          <w:highlight w:val="none"/>
        </w:rPr>
      </w:pPr>
    </w:p>
    <w:p w14:paraId="5BB4234C">
      <w:pPr>
        <w:ind w:firstLine="420" w:firstLineChars="200"/>
        <w:rPr>
          <w:rFonts w:ascii="宋体" w:hAnsi="宋体" w:cs="宋体"/>
          <w:color w:val="auto"/>
          <w:szCs w:val="21"/>
          <w:highlight w:val="none"/>
        </w:rPr>
      </w:pPr>
    </w:p>
    <w:p w14:paraId="4B581278">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（盖章）</w:t>
      </w:r>
    </w:p>
    <w:p w14:paraId="7C3AAD66">
      <w:pPr>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法定代表人或其授权委托人：</w:t>
      </w:r>
      <w:r>
        <w:rPr>
          <w:rFonts w:hint="eastAsia" w:ascii="宋体" w:hAnsi="宋体" w:cs="宋体"/>
          <w:color w:val="auto"/>
          <w:szCs w:val="21"/>
          <w:highlight w:val="none"/>
          <w:u w:val="single"/>
        </w:rPr>
        <w:t xml:space="preserve">     （签字或盖章）</w:t>
      </w:r>
    </w:p>
    <w:p w14:paraId="2B765EE2">
      <w:pPr>
        <w:spacing w:line="360" w:lineRule="auto"/>
        <w:ind w:firstLine="3780" w:firstLineChars="1800"/>
        <w:rPr>
          <w:rFonts w:ascii="宋体" w:hAnsi="宋体" w:cs="宋体"/>
          <w:color w:val="auto"/>
          <w:sz w:val="24"/>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年   月   日</w:t>
      </w:r>
    </w:p>
    <w:p w14:paraId="3696183C">
      <w:pPr>
        <w:snapToGrid w:val="0"/>
        <w:spacing w:before="100" w:beforeAutospacing="1" w:after="100" w:afterAutospacing="1"/>
        <w:ind w:right="85"/>
        <w:jc w:val="left"/>
        <w:textAlignment w:val="top"/>
        <w:rPr>
          <w:rFonts w:ascii="宋体" w:hAnsi="宋体" w:cs="宋体"/>
          <w:color w:val="auto"/>
          <w:szCs w:val="21"/>
          <w:highlight w:val="none"/>
        </w:rPr>
      </w:pPr>
    </w:p>
    <w:p w14:paraId="41493E78">
      <w:pPr>
        <w:pStyle w:val="50"/>
        <w:spacing w:line="520" w:lineRule="exact"/>
        <w:jc w:val="both"/>
        <w:rPr>
          <w:rFonts w:hAnsi="宋体"/>
          <w:color w:val="auto"/>
          <w:kern w:val="2"/>
          <w:highlight w:val="none"/>
        </w:rPr>
      </w:pPr>
    </w:p>
    <w:p w14:paraId="29905218">
      <w:pPr>
        <w:pStyle w:val="50"/>
        <w:spacing w:line="520" w:lineRule="exact"/>
        <w:jc w:val="both"/>
        <w:rPr>
          <w:rFonts w:hAnsi="宋体"/>
          <w:color w:val="auto"/>
          <w:kern w:val="2"/>
          <w:highlight w:val="none"/>
        </w:rPr>
      </w:pPr>
      <w:r>
        <w:rPr>
          <w:rFonts w:hint="eastAsia" w:hAnsi="宋体"/>
          <w:color w:val="auto"/>
          <w:kern w:val="2"/>
          <w:highlight w:val="none"/>
        </w:rPr>
        <w:br w:type="page"/>
      </w:r>
    </w:p>
    <w:p w14:paraId="1B6063E3">
      <w:pPr>
        <w:pStyle w:val="10"/>
        <w:jc w:val="center"/>
        <w:outlineLvl w:val="1"/>
        <w:rPr>
          <w:rFonts w:ascii="宋体" w:hAnsi="宋体" w:cs="宋体"/>
          <w:b/>
          <w:bCs/>
          <w:color w:val="auto"/>
          <w:sz w:val="24"/>
          <w:highlight w:val="none"/>
        </w:rPr>
      </w:pPr>
      <w:bookmarkStart w:id="1252" w:name="_Toc12286"/>
      <w:bookmarkStart w:id="1253" w:name="_Toc16685"/>
      <w:bookmarkStart w:id="1254" w:name="_Toc4888"/>
      <w:bookmarkStart w:id="1255" w:name="_Toc10020"/>
      <w:r>
        <w:rPr>
          <w:rFonts w:hint="eastAsia" w:ascii="宋体" w:hAnsi="宋体" w:cs="宋体"/>
          <w:b/>
          <w:bCs/>
          <w:color w:val="auto"/>
          <w:sz w:val="24"/>
          <w:highlight w:val="none"/>
        </w:rPr>
        <w:t>（四）</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认为</w:t>
      </w:r>
      <w:r>
        <w:rPr>
          <w:rFonts w:hint="eastAsia" w:ascii="宋体" w:hAnsi="宋体" w:cs="宋体"/>
          <w:b/>
          <w:bCs/>
          <w:color w:val="auto"/>
          <w:sz w:val="24"/>
          <w:highlight w:val="none"/>
          <w:lang w:eastAsia="zh-CN"/>
        </w:rPr>
        <w:t>需要提供的</w:t>
      </w:r>
      <w:r>
        <w:rPr>
          <w:rFonts w:hint="eastAsia" w:ascii="宋体" w:hAnsi="宋体" w:cs="宋体"/>
          <w:b/>
          <w:bCs/>
          <w:color w:val="auto"/>
          <w:sz w:val="24"/>
          <w:highlight w:val="none"/>
        </w:rPr>
        <w:t>其他材料</w:t>
      </w:r>
      <w:bookmarkEnd w:id="1252"/>
      <w:bookmarkEnd w:id="1253"/>
      <w:bookmarkEnd w:id="1254"/>
      <w:bookmarkEnd w:id="1255"/>
    </w:p>
    <w:bookmarkEnd w:id="1122"/>
    <w:bookmarkEnd w:id="1123"/>
    <w:bookmarkEnd w:id="1124"/>
    <w:p w14:paraId="58CDFF7A">
      <w:pPr>
        <w:pStyle w:val="50"/>
        <w:spacing w:line="520" w:lineRule="exact"/>
        <w:jc w:val="center"/>
        <w:rPr>
          <w:rFonts w:hAnsi="宋体"/>
          <w:color w:val="auto"/>
          <w:kern w:val="2"/>
          <w:szCs w:val="21"/>
          <w:highlight w:val="none"/>
        </w:rPr>
      </w:pPr>
    </w:p>
    <w:p w14:paraId="53D0AE2C">
      <w:pPr>
        <w:rPr>
          <w:color w:val="auto"/>
          <w:highlight w:val="none"/>
        </w:rPr>
      </w:pPr>
    </w:p>
    <w:sectPr>
      <w:footerReference r:id="rId6" w:type="default"/>
      <w:pgSz w:w="11906" w:h="16838"/>
      <w:pgMar w:top="1440" w:right="1061"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思源黑体 Light">
    <w:altName w:val="黑体"/>
    <w:panose1 w:val="00000000000000000000"/>
    <w:charset w:val="00"/>
    <w:family w:val="swiss"/>
    <w:pitch w:val="default"/>
    <w:sig w:usb0="00000000" w:usb1="00000000" w:usb2="00000016" w:usb3="00000000" w:csb0="002E0107"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1EA0">
    <w:pPr>
      <w:pStyle w:val="17"/>
      <w:jc w:val="both"/>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885C">
    <w:pPr>
      <w:pStyle w:val="17"/>
      <w:jc w:val="both"/>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564C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C564C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3CEC8">
    <w:pPr>
      <w:pStyle w:val="14"/>
      <w:spacing w:line="480" w:lineRule="auto"/>
      <w:jc w:val="left"/>
      <w:rPr>
        <w:bCs/>
        <w:sz w:val="21"/>
        <w:u w:val="single"/>
      </w:rPr>
    </w:pPr>
    <w:r>
      <w:rPr>
        <w:rFonts w:hint="eastAsia" w:ascii="宋体" w:hAnsi="宋体"/>
        <w:bCs/>
        <w:color w:val="000000"/>
        <w:sz w:val="21"/>
        <w:u w:val="single"/>
        <w:lang w:eastAsia="zh-CN"/>
      </w:rPr>
      <w:t>墨子实验室中原量子谷1号楼超净实验室工艺设备（一期）厂务二次配项目</w:t>
    </w:r>
    <w:r>
      <w:rPr>
        <w:rFonts w:hint="eastAsia" w:ascii="宋体" w:hAnsi="宋体"/>
        <w:bCs/>
        <w:color w:val="000000"/>
        <w:sz w:val="21"/>
        <w:u w:val="single"/>
      </w:rPr>
      <w:t xml:space="preserve"> </w:t>
    </w:r>
    <w:r>
      <w:rPr>
        <w:rFonts w:hint="eastAsia" w:ascii="宋体" w:hAnsi="宋体"/>
        <w:bCs/>
        <w:color w:val="000000"/>
        <w:sz w:val="21"/>
        <w:u w:val="single"/>
        <w:lang w:val="en-US" w:eastAsia="zh-CN"/>
      </w:rPr>
      <w:t xml:space="preserve">  </w:t>
    </w:r>
    <w:r>
      <w:rPr>
        <w:rFonts w:hint="eastAsia" w:ascii="宋体" w:hAnsi="宋体"/>
        <w:bCs/>
        <w:color w:val="000000"/>
        <w:sz w:val="21"/>
        <w:u w:val="single"/>
      </w:rPr>
      <w:t xml:space="preserve"> </w:t>
    </w:r>
    <w:r>
      <w:rPr>
        <w:rFonts w:hint="eastAsia" w:ascii="宋体" w:hAnsi="宋体" w:cs="宋体"/>
        <w:bCs/>
        <w:color w:val="000000"/>
        <w:sz w:val="21"/>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14447">
    <w:pPr>
      <w:pStyle w:val="18"/>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24DD9"/>
    <w:multiLevelType w:val="singleLevel"/>
    <w:tmpl w:val="C8A24DD9"/>
    <w:lvl w:ilvl="0" w:tentative="0">
      <w:start w:val="2"/>
      <w:numFmt w:val="decimal"/>
      <w:lvlText w:val="%1."/>
      <w:lvlJc w:val="left"/>
      <w:pPr>
        <w:tabs>
          <w:tab w:val="left" w:pos="312"/>
        </w:tabs>
      </w:pPr>
    </w:lvl>
  </w:abstractNum>
  <w:abstractNum w:abstractNumId="1">
    <w:nsid w:val="CA734FC3"/>
    <w:multiLevelType w:val="multilevel"/>
    <w:tmpl w:val="CA734FC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DFDFB67E"/>
    <w:multiLevelType w:val="singleLevel"/>
    <w:tmpl w:val="DFDFB67E"/>
    <w:lvl w:ilvl="0" w:tentative="0">
      <w:start w:val="1"/>
      <w:numFmt w:val="decimal"/>
      <w:suff w:val="nothing"/>
      <w:lvlText w:val="（%1）"/>
      <w:lvlJc w:val="left"/>
    </w:lvl>
  </w:abstractNum>
  <w:abstractNum w:abstractNumId="3">
    <w:nsid w:val="EDFF0451"/>
    <w:multiLevelType w:val="multilevel"/>
    <w:tmpl w:val="EDFF045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F0FEC337"/>
    <w:multiLevelType w:val="multilevel"/>
    <w:tmpl w:val="F0FEC33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E"/>
    <w:multiLevelType w:val="multilevel"/>
    <w:tmpl w:val="0000000E"/>
    <w:lvl w:ilvl="0" w:tentative="0">
      <w:start w:val="1"/>
      <w:numFmt w:val="decimal"/>
      <w:pStyle w:val="2"/>
      <w:suff w:val="nothing"/>
      <w:lvlText w:val="第%1章 "/>
      <w:lvlJc w:val="left"/>
      <w:pPr>
        <w:ind w:left="4410" w:firstLine="0"/>
      </w:pPr>
      <w:rPr>
        <w:rFonts w:hint="eastAsia" w:ascii="方正大标宋简体" w:eastAsia="方正大标宋简体"/>
        <w:b w:val="0"/>
        <w:i w:val="0"/>
        <w:sz w:val="36"/>
        <w:szCs w:val="36"/>
      </w:rPr>
    </w:lvl>
    <w:lvl w:ilvl="1" w:tentative="0">
      <w:start w:val="1"/>
      <w:numFmt w:val="decimal"/>
      <w:suff w:val="nothing"/>
      <w:lvlText w:val="    %2、"/>
      <w:lvlJc w:val="left"/>
      <w:pPr>
        <w:ind w:left="4410" w:firstLine="0"/>
      </w:pPr>
      <w:rPr>
        <w:rFonts w:hint="eastAsia" w:ascii="黑体" w:eastAsia="黑体"/>
        <w:b/>
        <w:i w:val="0"/>
        <w:sz w:val="30"/>
        <w:szCs w:val="30"/>
      </w:rPr>
    </w:lvl>
    <w:lvl w:ilvl="2" w:tentative="0">
      <w:start w:val="1"/>
      <w:numFmt w:val="decimal"/>
      <w:suff w:val="nothing"/>
      <w:lvlText w:val="    %2.%3 "/>
      <w:lvlJc w:val="left"/>
      <w:pPr>
        <w:ind w:left="4869" w:firstLine="0"/>
      </w:pPr>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    %2.%3.%4  "/>
      <w:lvlJc w:val="left"/>
      <w:pPr>
        <w:ind w:left="4410" w:firstLine="0"/>
      </w:pPr>
      <w:rPr>
        <w:rFonts w:hint="eastAsia" w:ascii="仿宋_GB2312" w:eastAsia="仿宋_GB2312"/>
        <w:b/>
        <w:i w:val="0"/>
        <w:sz w:val="28"/>
        <w:szCs w:val="28"/>
      </w:rPr>
    </w:lvl>
    <w:lvl w:ilvl="4" w:tentative="0">
      <w:start w:val="1"/>
      <w:numFmt w:val="none"/>
      <w:suff w:val="nothing"/>
      <w:lvlText w:val=""/>
      <w:lvlJc w:val="left"/>
      <w:pPr>
        <w:ind w:left="4410" w:firstLine="0"/>
      </w:pPr>
      <w:rPr>
        <w:rFonts w:hint="eastAsia"/>
      </w:rPr>
    </w:lvl>
    <w:lvl w:ilvl="5" w:tentative="0">
      <w:start w:val="1"/>
      <w:numFmt w:val="none"/>
      <w:suff w:val="nothing"/>
      <w:lvlText w:val=""/>
      <w:lvlJc w:val="left"/>
      <w:pPr>
        <w:ind w:left="4410" w:firstLine="0"/>
      </w:pPr>
      <w:rPr>
        <w:rFonts w:hint="eastAsia"/>
      </w:rPr>
    </w:lvl>
    <w:lvl w:ilvl="6" w:tentative="0">
      <w:start w:val="1"/>
      <w:numFmt w:val="none"/>
      <w:suff w:val="nothing"/>
      <w:lvlText w:val=""/>
      <w:lvlJc w:val="left"/>
      <w:pPr>
        <w:ind w:left="4410" w:firstLine="0"/>
      </w:pPr>
      <w:rPr>
        <w:rFonts w:hint="eastAsia"/>
      </w:rPr>
    </w:lvl>
    <w:lvl w:ilvl="7" w:tentative="0">
      <w:start w:val="1"/>
      <w:numFmt w:val="none"/>
      <w:suff w:val="nothing"/>
      <w:lvlText w:val=""/>
      <w:lvlJc w:val="left"/>
      <w:pPr>
        <w:ind w:left="4410" w:firstLine="0"/>
      </w:pPr>
      <w:rPr>
        <w:rFonts w:hint="eastAsia"/>
      </w:rPr>
    </w:lvl>
    <w:lvl w:ilvl="8" w:tentative="0">
      <w:start w:val="1"/>
      <w:numFmt w:val="none"/>
      <w:suff w:val="nothing"/>
      <w:lvlText w:val=""/>
      <w:lvlJc w:val="left"/>
      <w:pPr>
        <w:ind w:left="4410" w:firstLine="0"/>
      </w:pPr>
      <w:rPr>
        <w:rFonts w:hint="eastAsia"/>
      </w:rPr>
    </w:lvl>
  </w:abstractNum>
  <w:abstractNum w:abstractNumId="6">
    <w:nsid w:val="241AF998"/>
    <w:multiLevelType w:val="singleLevel"/>
    <w:tmpl w:val="241AF998"/>
    <w:lvl w:ilvl="0" w:tentative="0">
      <w:start w:val="1"/>
      <w:numFmt w:val="decimal"/>
      <w:suff w:val="nothing"/>
      <w:lvlText w:val="（%1）"/>
      <w:lvlJc w:val="left"/>
    </w:lvl>
  </w:abstractNum>
  <w:abstractNum w:abstractNumId="7">
    <w:nsid w:val="2F6C744D"/>
    <w:multiLevelType w:val="singleLevel"/>
    <w:tmpl w:val="2F6C744D"/>
    <w:lvl w:ilvl="0" w:tentative="0">
      <w:start w:val="5"/>
      <w:numFmt w:val="decimal"/>
      <w:suff w:val="nothing"/>
      <w:lvlText w:val="%1、"/>
      <w:lvlJc w:val="left"/>
    </w:lvl>
  </w:abstractNum>
  <w:abstractNum w:abstractNumId="8">
    <w:nsid w:val="603D9A61"/>
    <w:multiLevelType w:val="singleLevel"/>
    <w:tmpl w:val="603D9A61"/>
    <w:lvl w:ilvl="0" w:tentative="0">
      <w:start w:val="5"/>
      <w:numFmt w:val="chineseCounting"/>
      <w:suff w:val="space"/>
      <w:lvlText w:val="第%1章"/>
      <w:lvlJc w:val="left"/>
      <w:rPr>
        <w:rFonts w:hint="eastAsia"/>
      </w:rPr>
    </w:lvl>
  </w:abstractNum>
  <w:abstractNum w:abstractNumId="9">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E622E16"/>
    <w:multiLevelType w:val="singleLevel"/>
    <w:tmpl w:val="7E622E16"/>
    <w:lvl w:ilvl="0" w:tentative="0">
      <w:start w:val="1"/>
      <w:numFmt w:val="decimal"/>
      <w:suff w:val="nothing"/>
      <w:lvlText w:val="（%1）"/>
      <w:lvlJc w:val="left"/>
    </w:lvl>
  </w:abstractNum>
  <w:num w:numId="1">
    <w:abstractNumId w:val="5"/>
  </w:num>
  <w:num w:numId="2">
    <w:abstractNumId w:val="0"/>
  </w:num>
  <w:num w:numId="3">
    <w:abstractNumId w:val="10"/>
  </w:num>
  <w:num w:numId="4">
    <w:abstractNumId w:val="6"/>
  </w:num>
  <w:num w:numId="5">
    <w:abstractNumId w:val="8"/>
  </w:num>
  <w:num w:numId="6">
    <w:abstractNumId w:val="1"/>
  </w:num>
  <w:num w:numId="7">
    <w:abstractNumId w:val="4"/>
  </w:num>
  <w:num w:numId="8">
    <w:abstractNumId w:val="3"/>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ZDRkMDA3OTUxM2JlMTcyNTQxYmZmODE0YjEzYzQifQ=="/>
  </w:docVars>
  <w:rsids>
    <w:rsidRoot w:val="5223161A"/>
    <w:rsid w:val="00062C4E"/>
    <w:rsid w:val="000816E7"/>
    <w:rsid w:val="00132CB8"/>
    <w:rsid w:val="00223EFA"/>
    <w:rsid w:val="00292C85"/>
    <w:rsid w:val="00423810"/>
    <w:rsid w:val="006D3FA5"/>
    <w:rsid w:val="00835543"/>
    <w:rsid w:val="008F609F"/>
    <w:rsid w:val="00993035"/>
    <w:rsid w:val="00AB2BE4"/>
    <w:rsid w:val="00B66F77"/>
    <w:rsid w:val="00B74565"/>
    <w:rsid w:val="00BC0A85"/>
    <w:rsid w:val="00D074CA"/>
    <w:rsid w:val="00F05165"/>
    <w:rsid w:val="00F7323D"/>
    <w:rsid w:val="00F73FCE"/>
    <w:rsid w:val="00FF7E34"/>
    <w:rsid w:val="010F6F10"/>
    <w:rsid w:val="014D7FFD"/>
    <w:rsid w:val="01840BB5"/>
    <w:rsid w:val="01F9013A"/>
    <w:rsid w:val="0213141D"/>
    <w:rsid w:val="026E67B7"/>
    <w:rsid w:val="03832981"/>
    <w:rsid w:val="03FF0304"/>
    <w:rsid w:val="056F4631"/>
    <w:rsid w:val="05CD5D86"/>
    <w:rsid w:val="06021C22"/>
    <w:rsid w:val="06A27213"/>
    <w:rsid w:val="071F2612"/>
    <w:rsid w:val="075C39F2"/>
    <w:rsid w:val="07D94EB6"/>
    <w:rsid w:val="0950795F"/>
    <w:rsid w:val="098E00DD"/>
    <w:rsid w:val="09BC05EC"/>
    <w:rsid w:val="0B20379B"/>
    <w:rsid w:val="0BA773AA"/>
    <w:rsid w:val="0C023F68"/>
    <w:rsid w:val="0C9D4705"/>
    <w:rsid w:val="0CA91BE5"/>
    <w:rsid w:val="0CBD14EA"/>
    <w:rsid w:val="0D160B7F"/>
    <w:rsid w:val="0EAA3109"/>
    <w:rsid w:val="0EBF3032"/>
    <w:rsid w:val="0F9C5147"/>
    <w:rsid w:val="0FCE2047"/>
    <w:rsid w:val="10366EF9"/>
    <w:rsid w:val="10734EA1"/>
    <w:rsid w:val="10D66437"/>
    <w:rsid w:val="1168370B"/>
    <w:rsid w:val="117A0BD1"/>
    <w:rsid w:val="11C52008"/>
    <w:rsid w:val="11F0524D"/>
    <w:rsid w:val="12966664"/>
    <w:rsid w:val="12A26E25"/>
    <w:rsid w:val="12EB689D"/>
    <w:rsid w:val="12FC6CA9"/>
    <w:rsid w:val="139221E1"/>
    <w:rsid w:val="140C03C2"/>
    <w:rsid w:val="145C324B"/>
    <w:rsid w:val="14BB5882"/>
    <w:rsid w:val="14BF71E2"/>
    <w:rsid w:val="154970A1"/>
    <w:rsid w:val="15E72B28"/>
    <w:rsid w:val="160A26DF"/>
    <w:rsid w:val="16800E8A"/>
    <w:rsid w:val="17045380"/>
    <w:rsid w:val="17057347"/>
    <w:rsid w:val="179F5E7D"/>
    <w:rsid w:val="183B5364"/>
    <w:rsid w:val="18585984"/>
    <w:rsid w:val="199C44E8"/>
    <w:rsid w:val="19D43730"/>
    <w:rsid w:val="1A147FD0"/>
    <w:rsid w:val="1A5073E4"/>
    <w:rsid w:val="1AFA02FF"/>
    <w:rsid w:val="1B7649FC"/>
    <w:rsid w:val="1BA63A18"/>
    <w:rsid w:val="1BD30DD0"/>
    <w:rsid w:val="1BF27E9D"/>
    <w:rsid w:val="1C134D92"/>
    <w:rsid w:val="1D7FD4E6"/>
    <w:rsid w:val="1DAC2BE5"/>
    <w:rsid w:val="1DC76E0F"/>
    <w:rsid w:val="1DEBBA62"/>
    <w:rsid w:val="1DFD5F3B"/>
    <w:rsid w:val="1E4D2686"/>
    <w:rsid w:val="1EC72C53"/>
    <w:rsid w:val="1ED54C34"/>
    <w:rsid w:val="1EDF1935"/>
    <w:rsid w:val="1F7F3254"/>
    <w:rsid w:val="1FAA11BB"/>
    <w:rsid w:val="1FFBA63C"/>
    <w:rsid w:val="1FFF9ADD"/>
    <w:rsid w:val="2057338B"/>
    <w:rsid w:val="20875058"/>
    <w:rsid w:val="20B351F6"/>
    <w:rsid w:val="20D81CC7"/>
    <w:rsid w:val="20E14216"/>
    <w:rsid w:val="21AF40E3"/>
    <w:rsid w:val="21BF4CDE"/>
    <w:rsid w:val="21D40771"/>
    <w:rsid w:val="220977DD"/>
    <w:rsid w:val="22506711"/>
    <w:rsid w:val="22566255"/>
    <w:rsid w:val="229E1F8D"/>
    <w:rsid w:val="23EB9888"/>
    <w:rsid w:val="23F23130"/>
    <w:rsid w:val="23FE2105"/>
    <w:rsid w:val="244D0366"/>
    <w:rsid w:val="25292B82"/>
    <w:rsid w:val="252F3ACA"/>
    <w:rsid w:val="25E017B2"/>
    <w:rsid w:val="260155D4"/>
    <w:rsid w:val="260708B4"/>
    <w:rsid w:val="26172160"/>
    <w:rsid w:val="267B53F0"/>
    <w:rsid w:val="27595274"/>
    <w:rsid w:val="27674DEF"/>
    <w:rsid w:val="279D4D50"/>
    <w:rsid w:val="279F537D"/>
    <w:rsid w:val="27B36369"/>
    <w:rsid w:val="283A284D"/>
    <w:rsid w:val="286677D8"/>
    <w:rsid w:val="28702143"/>
    <w:rsid w:val="28983C59"/>
    <w:rsid w:val="28E26E0E"/>
    <w:rsid w:val="299A3B96"/>
    <w:rsid w:val="29F8727E"/>
    <w:rsid w:val="2D1E9A16"/>
    <w:rsid w:val="2D411636"/>
    <w:rsid w:val="2D47347D"/>
    <w:rsid w:val="2D4EA3EA"/>
    <w:rsid w:val="2D502C75"/>
    <w:rsid w:val="2DDC7370"/>
    <w:rsid w:val="2F312391"/>
    <w:rsid w:val="2F5F53F2"/>
    <w:rsid w:val="2F77F893"/>
    <w:rsid w:val="2FE401F0"/>
    <w:rsid w:val="2FE74560"/>
    <w:rsid w:val="2FFE302E"/>
    <w:rsid w:val="311F752F"/>
    <w:rsid w:val="3369683F"/>
    <w:rsid w:val="33785D55"/>
    <w:rsid w:val="337F6063"/>
    <w:rsid w:val="34105C5B"/>
    <w:rsid w:val="349A74BA"/>
    <w:rsid w:val="350F5501"/>
    <w:rsid w:val="35D3561D"/>
    <w:rsid w:val="35F25212"/>
    <w:rsid w:val="35FA6A4C"/>
    <w:rsid w:val="36CB65CF"/>
    <w:rsid w:val="376F5D97"/>
    <w:rsid w:val="377E58DE"/>
    <w:rsid w:val="37F984DC"/>
    <w:rsid w:val="37FF5216"/>
    <w:rsid w:val="383D508D"/>
    <w:rsid w:val="38792D0F"/>
    <w:rsid w:val="389E51DD"/>
    <w:rsid w:val="399E38CB"/>
    <w:rsid w:val="39FE8D44"/>
    <w:rsid w:val="3A7D22F4"/>
    <w:rsid w:val="3A7FD648"/>
    <w:rsid w:val="3A9ED452"/>
    <w:rsid w:val="3AB64A60"/>
    <w:rsid w:val="3AEB05B1"/>
    <w:rsid w:val="3AF7798E"/>
    <w:rsid w:val="3AFD3EDA"/>
    <w:rsid w:val="3B9C1EA7"/>
    <w:rsid w:val="3BFB9A17"/>
    <w:rsid w:val="3BFF9CAB"/>
    <w:rsid w:val="3C5E2949"/>
    <w:rsid w:val="3C7E6124"/>
    <w:rsid w:val="3CBF43B1"/>
    <w:rsid w:val="3CC5782C"/>
    <w:rsid w:val="3CD967E3"/>
    <w:rsid w:val="3CFF755D"/>
    <w:rsid w:val="3D075C97"/>
    <w:rsid w:val="3D112421"/>
    <w:rsid w:val="3D605E5D"/>
    <w:rsid w:val="3D7F0A97"/>
    <w:rsid w:val="3DBEEBB2"/>
    <w:rsid w:val="3DCE0312"/>
    <w:rsid w:val="3EA467BD"/>
    <w:rsid w:val="3EFAC40F"/>
    <w:rsid w:val="3EFF3845"/>
    <w:rsid w:val="3EFF5FEB"/>
    <w:rsid w:val="3EFFB3B1"/>
    <w:rsid w:val="3F65BD3D"/>
    <w:rsid w:val="3F7F23AF"/>
    <w:rsid w:val="3F9E6872"/>
    <w:rsid w:val="3F9FCC30"/>
    <w:rsid w:val="3FBE4717"/>
    <w:rsid w:val="3FD339BE"/>
    <w:rsid w:val="3FD6C313"/>
    <w:rsid w:val="3FD779C4"/>
    <w:rsid w:val="3FDF6E62"/>
    <w:rsid w:val="3FE701D7"/>
    <w:rsid w:val="3FEF2A21"/>
    <w:rsid w:val="3FF356B1"/>
    <w:rsid w:val="3FF42EFF"/>
    <w:rsid w:val="3FFE2448"/>
    <w:rsid w:val="3FFF3B13"/>
    <w:rsid w:val="3FFFBE37"/>
    <w:rsid w:val="40526FD9"/>
    <w:rsid w:val="40796737"/>
    <w:rsid w:val="40EA5405"/>
    <w:rsid w:val="414508EB"/>
    <w:rsid w:val="419E7F7B"/>
    <w:rsid w:val="41EF15B9"/>
    <w:rsid w:val="42FE4DB1"/>
    <w:rsid w:val="43037D1C"/>
    <w:rsid w:val="44366C11"/>
    <w:rsid w:val="452A03C6"/>
    <w:rsid w:val="45333815"/>
    <w:rsid w:val="4550785F"/>
    <w:rsid w:val="45A40ECF"/>
    <w:rsid w:val="45F7BE6D"/>
    <w:rsid w:val="465B7E15"/>
    <w:rsid w:val="46DD7829"/>
    <w:rsid w:val="47236883"/>
    <w:rsid w:val="477F442B"/>
    <w:rsid w:val="47BEDCB2"/>
    <w:rsid w:val="47CC353E"/>
    <w:rsid w:val="47D76015"/>
    <w:rsid w:val="486D24D6"/>
    <w:rsid w:val="487F2935"/>
    <w:rsid w:val="49081893"/>
    <w:rsid w:val="49AB7DDF"/>
    <w:rsid w:val="4BDE7D9A"/>
    <w:rsid w:val="4C50659D"/>
    <w:rsid w:val="4C6451CF"/>
    <w:rsid w:val="4CB8BFF5"/>
    <w:rsid w:val="4D6C339F"/>
    <w:rsid w:val="4DAF9B1E"/>
    <w:rsid w:val="4DDC6827"/>
    <w:rsid w:val="4DE66752"/>
    <w:rsid w:val="4EB83604"/>
    <w:rsid w:val="4EE89893"/>
    <w:rsid w:val="4F5A4A40"/>
    <w:rsid w:val="4F5FB9CE"/>
    <w:rsid w:val="4F9A359E"/>
    <w:rsid w:val="4FCD289C"/>
    <w:rsid w:val="5062221C"/>
    <w:rsid w:val="50AD2ACC"/>
    <w:rsid w:val="50DC0BB1"/>
    <w:rsid w:val="50DF64DA"/>
    <w:rsid w:val="50FC7E3A"/>
    <w:rsid w:val="51010E1C"/>
    <w:rsid w:val="51112866"/>
    <w:rsid w:val="518E4C50"/>
    <w:rsid w:val="5206527D"/>
    <w:rsid w:val="5223161A"/>
    <w:rsid w:val="523A4871"/>
    <w:rsid w:val="52825B1B"/>
    <w:rsid w:val="528D20F2"/>
    <w:rsid w:val="53065A01"/>
    <w:rsid w:val="537C081C"/>
    <w:rsid w:val="53BA05AD"/>
    <w:rsid w:val="53D36689"/>
    <w:rsid w:val="5440571E"/>
    <w:rsid w:val="54C05F35"/>
    <w:rsid w:val="54CC5154"/>
    <w:rsid w:val="556F9D2A"/>
    <w:rsid w:val="55783872"/>
    <w:rsid w:val="55DF0426"/>
    <w:rsid w:val="566C301B"/>
    <w:rsid w:val="56794E67"/>
    <w:rsid w:val="56D34617"/>
    <w:rsid w:val="56D9547B"/>
    <w:rsid w:val="56DFE0B8"/>
    <w:rsid w:val="56FEEBFF"/>
    <w:rsid w:val="579D2841"/>
    <w:rsid w:val="57DC3488"/>
    <w:rsid w:val="57FB39AD"/>
    <w:rsid w:val="57FFC614"/>
    <w:rsid w:val="58BE153C"/>
    <w:rsid w:val="58BF0B2C"/>
    <w:rsid w:val="594F3C5E"/>
    <w:rsid w:val="59B77A55"/>
    <w:rsid w:val="59D4473E"/>
    <w:rsid w:val="59DE3233"/>
    <w:rsid w:val="5A9D5BA4"/>
    <w:rsid w:val="5ADE00D8"/>
    <w:rsid w:val="5AF0D033"/>
    <w:rsid w:val="5B3A042A"/>
    <w:rsid w:val="5B3A7C4E"/>
    <w:rsid w:val="5B4B5B02"/>
    <w:rsid w:val="5B5F03CA"/>
    <w:rsid w:val="5B7F170F"/>
    <w:rsid w:val="5BEBAE29"/>
    <w:rsid w:val="5BFF14BB"/>
    <w:rsid w:val="5CB940F4"/>
    <w:rsid w:val="5CCB7A9F"/>
    <w:rsid w:val="5D2C15D3"/>
    <w:rsid w:val="5D4064FA"/>
    <w:rsid w:val="5D75E9D9"/>
    <w:rsid w:val="5D9821A9"/>
    <w:rsid w:val="5E70BC09"/>
    <w:rsid w:val="5E9F29E6"/>
    <w:rsid w:val="5EDDEE8A"/>
    <w:rsid w:val="5EF2520B"/>
    <w:rsid w:val="5EFA3C57"/>
    <w:rsid w:val="5EFD4621"/>
    <w:rsid w:val="5EFFB92F"/>
    <w:rsid w:val="5F187604"/>
    <w:rsid w:val="5F1A373D"/>
    <w:rsid w:val="5F37327F"/>
    <w:rsid w:val="5F3BAF66"/>
    <w:rsid w:val="5FDFD622"/>
    <w:rsid w:val="5FFAFEED"/>
    <w:rsid w:val="5FFB9D4E"/>
    <w:rsid w:val="609A4F3F"/>
    <w:rsid w:val="61B52ACC"/>
    <w:rsid w:val="61F96EA4"/>
    <w:rsid w:val="620D0B5A"/>
    <w:rsid w:val="62806100"/>
    <w:rsid w:val="62AE77A9"/>
    <w:rsid w:val="62DE9301"/>
    <w:rsid w:val="632FDC91"/>
    <w:rsid w:val="637ED49D"/>
    <w:rsid w:val="63C95FE5"/>
    <w:rsid w:val="64445907"/>
    <w:rsid w:val="64A704BF"/>
    <w:rsid w:val="656D441E"/>
    <w:rsid w:val="65F556FE"/>
    <w:rsid w:val="65F5793D"/>
    <w:rsid w:val="665406EE"/>
    <w:rsid w:val="66CA526B"/>
    <w:rsid w:val="66E7C4B9"/>
    <w:rsid w:val="672660C9"/>
    <w:rsid w:val="673B04E1"/>
    <w:rsid w:val="67472418"/>
    <w:rsid w:val="67B6D615"/>
    <w:rsid w:val="67DFBDB5"/>
    <w:rsid w:val="67FDB9A8"/>
    <w:rsid w:val="68086E90"/>
    <w:rsid w:val="68430781"/>
    <w:rsid w:val="686E1233"/>
    <w:rsid w:val="68A942EF"/>
    <w:rsid w:val="68AA3905"/>
    <w:rsid w:val="68FC5484"/>
    <w:rsid w:val="691847D3"/>
    <w:rsid w:val="695D6A03"/>
    <w:rsid w:val="69B10589"/>
    <w:rsid w:val="69EF0EDA"/>
    <w:rsid w:val="69F86FEA"/>
    <w:rsid w:val="6ADA35A3"/>
    <w:rsid w:val="6AF32886"/>
    <w:rsid w:val="6B2F743C"/>
    <w:rsid w:val="6B764F6A"/>
    <w:rsid w:val="6BA4626B"/>
    <w:rsid w:val="6BFD39ED"/>
    <w:rsid w:val="6C8B219C"/>
    <w:rsid w:val="6CFF80E6"/>
    <w:rsid w:val="6D5A12E1"/>
    <w:rsid w:val="6D9F4859"/>
    <w:rsid w:val="6DD644F6"/>
    <w:rsid w:val="6E2E60E0"/>
    <w:rsid w:val="6E357591"/>
    <w:rsid w:val="6E675A80"/>
    <w:rsid w:val="6EBC193D"/>
    <w:rsid w:val="6ECC5BBD"/>
    <w:rsid w:val="6ED24CBD"/>
    <w:rsid w:val="6EE772F8"/>
    <w:rsid w:val="6EFEDFBF"/>
    <w:rsid w:val="6EFEFC0E"/>
    <w:rsid w:val="6F0F103B"/>
    <w:rsid w:val="6F1564EB"/>
    <w:rsid w:val="6F3851F9"/>
    <w:rsid w:val="6F7A672C"/>
    <w:rsid w:val="6F8A65A4"/>
    <w:rsid w:val="6F9699E8"/>
    <w:rsid w:val="6F9759CE"/>
    <w:rsid w:val="6F98DE56"/>
    <w:rsid w:val="6FB7F204"/>
    <w:rsid w:val="6FBBBFFF"/>
    <w:rsid w:val="6FEFC75C"/>
    <w:rsid w:val="6FF9666B"/>
    <w:rsid w:val="6FFF6D9E"/>
    <w:rsid w:val="70293181"/>
    <w:rsid w:val="703A5210"/>
    <w:rsid w:val="706E2E65"/>
    <w:rsid w:val="70B33F45"/>
    <w:rsid w:val="7172B8B1"/>
    <w:rsid w:val="717402AD"/>
    <w:rsid w:val="71B78449"/>
    <w:rsid w:val="71C13BAF"/>
    <w:rsid w:val="71FD85F2"/>
    <w:rsid w:val="72E59E85"/>
    <w:rsid w:val="73B78B3C"/>
    <w:rsid w:val="73BFEF60"/>
    <w:rsid w:val="73E5A25B"/>
    <w:rsid w:val="73E67988"/>
    <w:rsid w:val="73EB79E8"/>
    <w:rsid w:val="743F4C96"/>
    <w:rsid w:val="7447546A"/>
    <w:rsid w:val="74861DAA"/>
    <w:rsid w:val="74911176"/>
    <w:rsid w:val="749579FE"/>
    <w:rsid w:val="74A844D0"/>
    <w:rsid w:val="74E26E5B"/>
    <w:rsid w:val="74F15824"/>
    <w:rsid w:val="75114065"/>
    <w:rsid w:val="7548603F"/>
    <w:rsid w:val="75D5F706"/>
    <w:rsid w:val="75F7F3B4"/>
    <w:rsid w:val="76236746"/>
    <w:rsid w:val="76674FBA"/>
    <w:rsid w:val="76EE8A5A"/>
    <w:rsid w:val="76F5C7DA"/>
    <w:rsid w:val="76FD6827"/>
    <w:rsid w:val="776EA13E"/>
    <w:rsid w:val="77707769"/>
    <w:rsid w:val="777D8AF0"/>
    <w:rsid w:val="778B00FF"/>
    <w:rsid w:val="77B353D2"/>
    <w:rsid w:val="77BD12C0"/>
    <w:rsid w:val="77BDBD96"/>
    <w:rsid w:val="77D5786F"/>
    <w:rsid w:val="77F68E86"/>
    <w:rsid w:val="77FDD0BC"/>
    <w:rsid w:val="78252301"/>
    <w:rsid w:val="78355C14"/>
    <w:rsid w:val="78E70AF1"/>
    <w:rsid w:val="78EC3885"/>
    <w:rsid w:val="7916044B"/>
    <w:rsid w:val="797FA80E"/>
    <w:rsid w:val="79CD2C5E"/>
    <w:rsid w:val="79FEEDDB"/>
    <w:rsid w:val="7A2FB0E7"/>
    <w:rsid w:val="7ACE11C5"/>
    <w:rsid w:val="7AD26D0A"/>
    <w:rsid w:val="7AE06836"/>
    <w:rsid w:val="7AFAAFD9"/>
    <w:rsid w:val="7AFFD5DF"/>
    <w:rsid w:val="7BA7463E"/>
    <w:rsid w:val="7BBF13CA"/>
    <w:rsid w:val="7BE4582A"/>
    <w:rsid w:val="7C0732D9"/>
    <w:rsid w:val="7C496470"/>
    <w:rsid w:val="7C572CA5"/>
    <w:rsid w:val="7CCE951D"/>
    <w:rsid w:val="7CFFD2A7"/>
    <w:rsid w:val="7D25FBA6"/>
    <w:rsid w:val="7D3F16CB"/>
    <w:rsid w:val="7D3F60D3"/>
    <w:rsid w:val="7D78DCAC"/>
    <w:rsid w:val="7D7DB142"/>
    <w:rsid w:val="7D7DC0DE"/>
    <w:rsid w:val="7D7E89E6"/>
    <w:rsid w:val="7DA46098"/>
    <w:rsid w:val="7DAFBB14"/>
    <w:rsid w:val="7DB62063"/>
    <w:rsid w:val="7DBB9EAB"/>
    <w:rsid w:val="7DBBAD4E"/>
    <w:rsid w:val="7DDD4ACF"/>
    <w:rsid w:val="7DF7E284"/>
    <w:rsid w:val="7E552675"/>
    <w:rsid w:val="7E5F2101"/>
    <w:rsid w:val="7EBD028E"/>
    <w:rsid w:val="7EBF5CFF"/>
    <w:rsid w:val="7EFD4F31"/>
    <w:rsid w:val="7EFEC579"/>
    <w:rsid w:val="7EFEFD9F"/>
    <w:rsid w:val="7EFF1A94"/>
    <w:rsid w:val="7F0D940E"/>
    <w:rsid w:val="7F3E5A6C"/>
    <w:rsid w:val="7F5172B8"/>
    <w:rsid w:val="7F5A01FA"/>
    <w:rsid w:val="7F6FB2C4"/>
    <w:rsid w:val="7F87F2FC"/>
    <w:rsid w:val="7F9BAE4C"/>
    <w:rsid w:val="7F9DCA34"/>
    <w:rsid w:val="7FB7347D"/>
    <w:rsid w:val="7FBAAABF"/>
    <w:rsid w:val="7FBE0B41"/>
    <w:rsid w:val="7FBE9C0F"/>
    <w:rsid w:val="7FBFE29F"/>
    <w:rsid w:val="7FD20EA9"/>
    <w:rsid w:val="7FDA427B"/>
    <w:rsid w:val="7FDD23CC"/>
    <w:rsid w:val="7FDF8F8D"/>
    <w:rsid w:val="7FE7776B"/>
    <w:rsid w:val="7FEB3D5C"/>
    <w:rsid w:val="7FEB48D5"/>
    <w:rsid w:val="7FEF10C9"/>
    <w:rsid w:val="7FEFBD64"/>
    <w:rsid w:val="7FF5916F"/>
    <w:rsid w:val="7FF7E7A4"/>
    <w:rsid w:val="7FFAD897"/>
    <w:rsid w:val="7FFB0533"/>
    <w:rsid w:val="7FFBA560"/>
    <w:rsid w:val="7FFCC030"/>
    <w:rsid w:val="7FFF1099"/>
    <w:rsid w:val="85E01900"/>
    <w:rsid w:val="89FD12B2"/>
    <w:rsid w:val="89FFFE89"/>
    <w:rsid w:val="8BFD0CC5"/>
    <w:rsid w:val="8DFDC42B"/>
    <w:rsid w:val="94FF97E6"/>
    <w:rsid w:val="95FE3811"/>
    <w:rsid w:val="96F78DB8"/>
    <w:rsid w:val="97FFE712"/>
    <w:rsid w:val="99BFC5FC"/>
    <w:rsid w:val="9BFF6672"/>
    <w:rsid w:val="9DED95C3"/>
    <w:rsid w:val="9E7BA39B"/>
    <w:rsid w:val="9FFA3968"/>
    <w:rsid w:val="9FFBD343"/>
    <w:rsid w:val="9FFF5B0D"/>
    <w:rsid w:val="9FFFA3D1"/>
    <w:rsid w:val="A3FDCE82"/>
    <w:rsid w:val="A7F76B68"/>
    <w:rsid w:val="AAFF4ABA"/>
    <w:rsid w:val="ABFA9687"/>
    <w:rsid w:val="AF612864"/>
    <w:rsid w:val="AFDC3F19"/>
    <w:rsid w:val="AFFE83E7"/>
    <w:rsid w:val="AFFF7067"/>
    <w:rsid w:val="B577090B"/>
    <w:rsid w:val="B63EC76C"/>
    <w:rsid w:val="B6FF75AB"/>
    <w:rsid w:val="B7C73B33"/>
    <w:rsid w:val="B8BF0786"/>
    <w:rsid w:val="BAAF4805"/>
    <w:rsid w:val="BAF74FD3"/>
    <w:rsid w:val="BB79D362"/>
    <w:rsid w:val="BBCE93DB"/>
    <w:rsid w:val="BBFB9848"/>
    <w:rsid w:val="BBFDAA9E"/>
    <w:rsid w:val="BBFEE427"/>
    <w:rsid w:val="BCFB5EEE"/>
    <w:rsid w:val="BDE7B390"/>
    <w:rsid w:val="BDEF0E42"/>
    <w:rsid w:val="BDFE4D56"/>
    <w:rsid w:val="BE0E166E"/>
    <w:rsid w:val="BF66C405"/>
    <w:rsid w:val="BFBF5191"/>
    <w:rsid w:val="BFDB40AE"/>
    <w:rsid w:val="BFDF8F87"/>
    <w:rsid w:val="BFF79E8C"/>
    <w:rsid w:val="BFFFBD68"/>
    <w:rsid w:val="C3FEEDD6"/>
    <w:rsid w:val="CAFB1EC2"/>
    <w:rsid w:val="CAFC024A"/>
    <w:rsid w:val="CBBB73D3"/>
    <w:rsid w:val="CF3F2ABF"/>
    <w:rsid w:val="CFFBDC68"/>
    <w:rsid w:val="D1BEA525"/>
    <w:rsid w:val="D37498D8"/>
    <w:rsid w:val="D37B53F7"/>
    <w:rsid w:val="D3DBD4CB"/>
    <w:rsid w:val="D3F679D9"/>
    <w:rsid w:val="D3F7A455"/>
    <w:rsid w:val="D72FB49A"/>
    <w:rsid w:val="D766A322"/>
    <w:rsid w:val="D7BD4ED6"/>
    <w:rsid w:val="D9FB4989"/>
    <w:rsid w:val="DA7D9133"/>
    <w:rsid w:val="DBC5A72E"/>
    <w:rsid w:val="DBDDDA0E"/>
    <w:rsid w:val="DBF3A00A"/>
    <w:rsid w:val="DCF7450B"/>
    <w:rsid w:val="DCFD97DB"/>
    <w:rsid w:val="DD6BBFF4"/>
    <w:rsid w:val="DDFFB35C"/>
    <w:rsid w:val="DEDF45F9"/>
    <w:rsid w:val="DEEFA8FF"/>
    <w:rsid w:val="DEFDC337"/>
    <w:rsid w:val="DF3F4F98"/>
    <w:rsid w:val="DF3FBBD6"/>
    <w:rsid w:val="DF63E211"/>
    <w:rsid w:val="DF7FF0D8"/>
    <w:rsid w:val="DFC7A133"/>
    <w:rsid w:val="DFF7EFAB"/>
    <w:rsid w:val="DFFBFB46"/>
    <w:rsid w:val="E6AEADD9"/>
    <w:rsid w:val="E7BF0C28"/>
    <w:rsid w:val="E7EFCA85"/>
    <w:rsid w:val="E7FE302A"/>
    <w:rsid w:val="E7FFDC3D"/>
    <w:rsid w:val="E8D7DA0A"/>
    <w:rsid w:val="E9EEEB16"/>
    <w:rsid w:val="EACB8DC3"/>
    <w:rsid w:val="EADF16AA"/>
    <w:rsid w:val="EAFF1639"/>
    <w:rsid w:val="EBB7BC7D"/>
    <w:rsid w:val="EBCEC9CF"/>
    <w:rsid w:val="EBD9684A"/>
    <w:rsid w:val="EBE1E824"/>
    <w:rsid w:val="EBFA3E04"/>
    <w:rsid w:val="ECCFAAA5"/>
    <w:rsid w:val="ECFF461F"/>
    <w:rsid w:val="ECFF717B"/>
    <w:rsid w:val="ED7742B3"/>
    <w:rsid w:val="EDDE6296"/>
    <w:rsid w:val="EDF9AFA8"/>
    <w:rsid w:val="EE6F0B6D"/>
    <w:rsid w:val="EE73E941"/>
    <w:rsid w:val="EE7E34C7"/>
    <w:rsid w:val="EE95273B"/>
    <w:rsid w:val="EFAFCEA0"/>
    <w:rsid w:val="EFBE7871"/>
    <w:rsid w:val="EFBFD147"/>
    <w:rsid w:val="EFDBFF1F"/>
    <w:rsid w:val="EFDD0A8E"/>
    <w:rsid w:val="EFE74A0B"/>
    <w:rsid w:val="EFF79AC1"/>
    <w:rsid w:val="EFFF45A7"/>
    <w:rsid w:val="F2B2A14B"/>
    <w:rsid w:val="F4FE94AB"/>
    <w:rsid w:val="F4FF44D1"/>
    <w:rsid w:val="F5876E43"/>
    <w:rsid w:val="F5B82481"/>
    <w:rsid w:val="F6E65F0A"/>
    <w:rsid w:val="F6EA9558"/>
    <w:rsid w:val="F73B6F8F"/>
    <w:rsid w:val="F75AECFC"/>
    <w:rsid w:val="F77F757E"/>
    <w:rsid w:val="F77FE2C1"/>
    <w:rsid w:val="F7BF293B"/>
    <w:rsid w:val="F7CB1E58"/>
    <w:rsid w:val="F7DA9E1E"/>
    <w:rsid w:val="F7E0419C"/>
    <w:rsid w:val="F7F9BE43"/>
    <w:rsid w:val="F9A4EF84"/>
    <w:rsid w:val="F9BE07AB"/>
    <w:rsid w:val="F9FDF2DF"/>
    <w:rsid w:val="FAAF7896"/>
    <w:rsid w:val="FAFA5F23"/>
    <w:rsid w:val="FAFB356C"/>
    <w:rsid w:val="FB5DAE05"/>
    <w:rsid w:val="FB7F213F"/>
    <w:rsid w:val="FB7F7A37"/>
    <w:rsid w:val="FB7FE58E"/>
    <w:rsid w:val="FBDD13C4"/>
    <w:rsid w:val="FBEDD397"/>
    <w:rsid w:val="FC5F34FF"/>
    <w:rsid w:val="FCDF0859"/>
    <w:rsid w:val="FCE95482"/>
    <w:rsid w:val="FCFA222B"/>
    <w:rsid w:val="FD374370"/>
    <w:rsid w:val="FD3946DE"/>
    <w:rsid w:val="FD3A4EFD"/>
    <w:rsid w:val="FD7C07E1"/>
    <w:rsid w:val="FDAF1F2D"/>
    <w:rsid w:val="FDB4237D"/>
    <w:rsid w:val="FDD96373"/>
    <w:rsid w:val="FDD9E550"/>
    <w:rsid w:val="FDDF195F"/>
    <w:rsid w:val="FDDF6FED"/>
    <w:rsid w:val="FDFA29EE"/>
    <w:rsid w:val="FEB619C9"/>
    <w:rsid w:val="FEDC489B"/>
    <w:rsid w:val="FEDFC14E"/>
    <w:rsid w:val="FEEF3AEE"/>
    <w:rsid w:val="FEF2562E"/>
    <w:rsid w:val="FEF5FB38"/>
    <w:rsid w:val="FEF7F463"/>
    <w:rsid w:val="FF6BDA50"/>
    <w:rsid w:val="FF6F7F2D"/>
    <w:rsid w:val="FF75997E"/>
    <w:rsid w:val="FF8DBA47"/>
    <w:rsid w:val="FF973C76"/>
    <w:rsid w:val="FF9BE245"/>
    <w:rsid w:val="FFDF8460"/>
    <w:rsid w:val="FFE77C4A"/>
    <w:rsid w:val="FFEB2040"/>
    <w:rsid w:val="FFEDFB92"/>
    <w:rsid w:val="FFEEF591"/>
    <w:rsid w:val="FFF3B0E5"/>
    <w:rsid w:val="FFF78271"/>
    <w:rsid w:val="FFF9A091"/>
    <w:rsid w:val="FFFB4DF5"/>
    <w:rsid w:val="FFFCD163"/>
    <w:rsid w:val="FFFD4F08"/>
    <w:rsid w:val="FFFF2E5B"/>
    <w:rsid w:val="FFFF38EF"/>
    <w:rsid w:val="FFFF5D78"/>
    <w:rsid w:val="FFFFC9B4"/>
    <w:rsid w:val="FFFFE4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44"/>
      <w:sz w:val="32"/>
      <w:szCs w:val="44"/>
    </w:rPr>
  </w:style>
  <w:style w:type="paragraph" w:styleId="3">
    <w:name w:val="heading 2"/>
    <w:basedOn w:val="1"/>
    <w:next w:val="1"/>
    <w:link w:val="83"/>
    <w:qFormat/>
    <w:uiPriority w:val="0"/>
    <w:pPr>
      <w:keepNext/>
      <w:keepLines/>
      <w:spacing w:before="260" w:after="260" w:line="415" w:lineRule="auto"/>
      <w:jc w:val="center"/>
      <w:outlineLvl w:val="1"/>
    </w:pPr>
    <w:rPr>
      <w:rFonts w:ascii="Arial" w:hAnsi="Arial"/>
      <w:b/>
      <w:bCs/>
      <w:kern w:val="0"/>
      <w:sz w:val="28"/>
      <w:szCs w:val="32"/>
    </w:rPr>
  </w:style>
  <w:style w:type="paragraph" w:styleId="4">
    <w:name w:val="heading 3"/>
    <w:basedOn w:val="1"/>
    <w:next w:val="1"/>
    <w:autoRedefine/>
    <w:qFormat/>
    <w:uiPriority w:val="0"/>
    <w:pPr>
      <w:keepNext/>
      <w:keepLines/>
      <w:jc w:val="center"/>
      <w:outlineLvl w:val="2"/>
    </w:pPr>
    <w:rPr>
      <w:b/>
      <w:sz w:val="28"/>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toa heading"/>
    <w:basedOn w:val="1"/>
    <w:next w:val="1"/>
    <w:semiHidden/>
    <w:unhideWhenUsed/>
    <w:qFormat/>
    <w:uiPriority w:val="99"/>
    <w:pPr>
      <w:spacing w:before="120"/>
    </w:pPr>
    <w:rPr>
      <w:rFonts w:asciiTheme="majorHAnsi" w:hAnsiTheme="majorHAnsi" w:eastAsiaTheme="majorEastAsia" w:cstheme="majorBidi"/>
      <w:sz w:val="24"/>
    </w:rPr>
  </w:style>
  <w:style w:type="paragraph" w:styleId="8">
    <w:name w:val="annotation text"/>
    <w:basedOn w:val="1"/>
    <w:autoRedefine/>
    <w:unhideWhenUsed/>
    <w:qFormat/>
    <w:uiPriority w:val="99"/>
    <w:pPr>
      <w:jc w:val="left"/>
    </w:pPr>
    <w:rPr>
      <w:kern w:val="0"/>
      <w:sz w:val="20"/>
    </w:rPr>
  </w:style>
  <w:style w:type="paragraph" w:styleId="9">
    <w:name w:val="Body Text 3"/>
    <w:basedOn w:val="1"/>
    <w:autoRedefine/>
    <w:qFormat/>
    <w:uiPriority w:val="0"/>
    <w:rPr>
      <w:kern w:val="0"/>
      <w:sz w:val="24"/>
      <w:szCs w:val="20"/>
    </w:rPr>
  </w:style>
  <w:style w:type="paragraph" w:styleId="10">
    <w:name w:val="Body Text"/>
    <w:basedOn w:val="1"/>
    <w:next w:val="1"/>
    <w:autoRedefine/>
    <w:qFormat/>
    <w:uiPriority w:val="0"/>
    <w:pPr>
      <w:spacing w:after="120"/>
    </w:pPr>
    <w:rPr>
      <w:kern w:val="0"/>
      <w:sz w:val="20"/>
    </w:rPr>
  </w:style>
  <w:style w:type="paragraph" w:styleId="11">
    <w:name w:val="Body Text Indent"/>
    <w:basedOn w:val="1"/>
    <w:next w:val="12"/>
    <w:qFormat/>
    <w:uiPriority w:val="99"/>
    <w:pPr>
      <w:autoSpaceDE w:val="0"/>
      <w:autoSpaceDN w:val="0"/>
      <w:adjustRightInd w:val="0"/>
      <w:ind w:left="540"/>
      <w:jc w:val="left"/>
    </w:pPr>
    <w:rPr>
      <w:rFonts w:ascii="宋体"/>
      <w:color w:val="000000"/>
      <w:kern w:val="0"/>
      <w:sz w:val="28"/>
      <w:szCs w:val="20"/>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next w:val="6"/>
    <w:autoRedefine/>
    <w:qFormat/>
    <w:uiPriority w:val="0"/>
    <w:rPr>
      <w:rFonts w:hAnsi="Courier New"/>
      <w:kern w:val="0"/>
      <w:sz w:val="20"/>
      <w:szCs w:val="21"/>
    </w:rPr>
  </w:style>
  <w:style w:type="paragraph" w:styleId="15">
    <w:name w:val="Body Text Indent 2"/>
    <w:basedOn w:val="1"/>
    <w:autoRedefine/>
    <w:qFormat/>
    <w:uiPriority w:val="0"/>
    <w:pPr>
      <w:ind w:left="424" w:leftChars="202"/>
    </w:pPr>
    <w:rPr>
      <w:rFonts w:eastAsia="楷体_GB2312"/>
      <w:kern w:val="0"/>
      <w:sz w:val="28"/>
    </w:rPr>
  </w:style>
  <w:style w:type="paragraph" w:styleId="16">
    <w:name w:val="Balloon Text"/>
    <w:basedOn w:val="1"/>
    <w:link w:val="74"/>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39"/>
    <w:pPr>
      <w:widowControl/>
      <w:spacing w:after="100" w:line="276" w:lineRule="auto"/>
      <w:jc w:val="center"/>
    </w:pPr>
    <w:rPr>
      <w:rFonts w:ascii="Calibri" w:hAnsi="Calibri"/>
      <w:kern w:val="0"/>
      <w:sz w:val="22"/>
      <w:szCs w:val="22"/>
    </w:rPr>
  </w:style>
  <w:style w:type="paragraph" w:styleId="20">
    <w:name w:val="toc 2"/>
    <w:basedOn w:val="1"/>
    <w:next w:val="1"/>
    <w:autoRedefine/>
    <w:qFormat/>
    <w:uiPriority w:val="39"/>
    <w:pPr>
      <w:widowControl/>
      <w:spacing w:after="100" w:line="276" w:lineRule="auto"/>
      <w:ind w:left="220"/>
      <w:jc w:val="left"/>
    </w:pPr>
    <w:rPr>
      <w:rFonts w:ascii="Calibri" w:hAnsi="Calibri"/>
      <w:kern w:val="0"/>
      <w:sz w:val="22"/>
      <w:szCs w:val="22"/>
    </w:rPr>
  </w:style>
  <w:style w:type="paragraph" w:styleId="21">
    <w:name w:val="Body Text 2"/>
    <w:basedOn w:val="1"/>
    <w:next w:val="10"/>
    <w:autoRedefine/>
    <w:qFormat/>
    <w:uiPriority w:val="0"/>
    <w:pPr>
      <w:spacing w:after="120" w:line="480" w:lineRule="auto"/>
    </w:pPr>
  </w:style>
  <w:style w:type="paragraph" w:styleId="22">
    <w:name w:val="HTML Preformatted"/>
    <w:basedOn w:val="1"/>
    <w:next w:val="5"/>
    <w:autoRedefine/>
    <w:qFormat/>
    <w:uiPriority w:val="0"/>
    <w:rPr>
      <w:rFonts w:ascii="Courier New" w:hAnsi="Courier New" w:cs="Courier New"/>
      <w:sz w:val="20"/>
      <w:szCs w:val="20"/>
    </w:rPr>
  </w:style>
  <w:style w:type="paragraph" w:styleId="23">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Title"/>
    <w:basedOn w:val="1"/>
    <w:next w:val="1"/>
    <w:autoRedefine/>
    <w:qFormat/>
    <w:uiPriority w:val="0"/>
    <w:pPr>
      <w:spacing w:before="240" w:after="60"/>
      <w:jc w:val="center"/>
      <w:outlineLvl w:val="0"/>
    </w:pPr>
    <w:rPr>
      <w:rFonts w:ascii="Arial" w:hAnsi="Arial" w:cs="Arial"/>
      <w:b/>
      <w:kern w:val="1"/>
      <w:sz w:val="32"/>
      <w:szCs w:val="32"/>
    </w:rPr>
  </w:style>
  <w:style w:type="paragraph" w:styleId="25">
    <w:name w:val="Body Text First Indent"/>
    <w:basedOn w:val="10"/>
    <w:next w:val="26"/>
    <w:autoRedefine/>
    <w:qFormat/>
    <w:uiPriority w:val="0"/>
    <w:pPr>
      <w:spacing w:line="360" w:lineRule="auto"/>
      <w:ind w:firstLine="420" w:firstLineChars="100"/>
    </w:pPr>
    <w:rPr>
      <w:szCs w:val="21"/>
    </w:rPr>
  </w:style>
  <w:style w:type="paragraph" w:styleId="26">
    <w:name w:val="Body Text First Indent 2"/>
    <w:basedOn w:val="11"/>
    <w:next w:val="1"/>
    <w:qFormat/>
    <w:uiPriority w:val="0"/>
    <w:pPr>
      <w:ind w:firstLine="420"/>
    </w:pPr>
    <w:rPr>
      <w:rFonts w:hint="eastAsi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page number"/>
    <w:qFormat/>
    <w:uiPriority w:val="0"/>
  </w:style>
  <w:style w:type="character" w:styleId="32">
    <w:name w:val="FollowedHyperlink"/>
    <w:basedOn w:val="29"/>
    <w:autoRedefine/>
    <w:qFormat/>
    <w:uiPriority w:val="0"/>
    <w:rPr>
      <w:color w:val="000000"/>
      <w:u w:val="none"/>
    </w:rPr>
  </w:style>
  <w:style w:type="character" w:styleId="33">
    <w:name w:val="Emphasis"/>
    <w:basedOn w:val="29"/>
    <w:autoRedefine/>
    <w:qFormat/>
    <w:uiPriority w:val="0"/>
    <w:rPr>
      <w:b/>
      <w:bCs/>
    </w:rPr>
  </w:style>
  <w:style w:type="character" w:styleId="34">
    <w:name w:val="HTML Definition"/>
    <w:basedOn w:val="29"/>
    <w:autoRedefine/>
    <w:qFormat/>
    <w:uiPriority w:val="0"/>
  </w:style>
  <w:style w:type="character" w:styleId="35">
    <w:name w:val="HTML Typewriter"/>
    <w:basedOn w:val="29"/>
    <w:autoRedefine/>
    <w:qFormat/>
    <w:uiPriority w:val="0"/>
    <w:rPr>
      <w:rFonts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basedOn w:val="29"/>
    <w:autoRedefine/>
    <w:qFormat/>
    <w:uiPriority w:val="0"/>
    <w:rPr>
      <w:color w:val="000000"/>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rPr>
      <w:sz w:val="0"/>
      <w:szCs w:val="0"/>
      <w:bdr w:val="single" w:color="auto" w:sz="2" w:space="0"/>
    </w:rPr>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hint="default" w:ascii="monospace" w:hAnsi="monospace" w:eastAsia="monospace" w:cs="monospace"/>
    </w:rPr>
  </w:style>
  <w:style w:type="paragraph" w:customStyle="1" w:styleId="43">
    <w:name w:val="正文文本首行缩进 21"/>
    <w:basedOn w:val="44"/>
    <w:next w:val="45"/>
    <w:autoRedefine/>
    <w:qFormat/>
    <w:uiPriority w:val="0"/>
    <w:pPr>
      <w:spacing w:after="120" w:line="240" w:lineRule="auto"/>
      <w:ind w:left="420" w:leftChars="200" w:firstLine="420" w:firstLineChars="200"/>
    </w:pPr>
  </w:style>
  <w:style w:type="paragraph" w:customStyle="1" w:styleId="44">
    <w:name w:val="正文文本缩进1"/>
    <w:basedOn w:val="1"/>
    <w:autoRedefine/>
    <w:qFormat/>
    <w:uiPriority w:val="0"/>
    <w:pPr>
      <w:spacing w:line="420" w:lineRule="exact"/>
      <w:ind w:firstLine="732" w:firstLineChars="300"/>
    </w:pPr>
    <w:rPr>
      <w:spacing w:val="2"/>
      <w:sz w:val="24"/>
    </w:rPr>
  </w:style>
  <w:style w:type="paragraph" w:customStyle="1" w:styleId="4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6">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Cs w:val="20"/>
    </w:rPr>
  </w:style>
  <w:style w:type="paragraph" w:styleId="47">
    <w:name w:val="No Spacing"/>
    <w:autoRedefine/>
    <w:qFormat/>
    <w:uiPriority w:val="1"/>
    <w:pPr>
      <w:widowControl w:val="0"/>
      <w:spacing w:line="360" w:lineRule="auto"/>
    </w:pPr>
    <w:rPr>
      <w:rFonts w:ascii="等线" w:hAnsi="等线" w:eastAsia="思源黑体 Light" w:cs="Times New Roman"/>
      <w:kern w:val="2"/>
      <w:sz w:val="21"/>
      <w:szCs w:val="22"/>
      <w:lang w:val="en-US" w:eastAsia="zh-CN" w:bidi="ar-SA"/>
    </w:rPr>
  </w:style>
  <w:style w:type="paragraph" w:customStyle="1" w:styleId="48">
    <w:name w:val="TableOfAuthoring"/>
    <w:basedOn w:val="1"/>
    <w:next w:val="1"/>
    <w:autoRedefine/>
    <w:qFormat/>
    <w:uiPriority w:val="0"/>
    <w:pPr>
      <w:ind w:left="420" w:leftChars="200"/>
    </w:pPr>
  </w:style>
  <w:style w:type="paragraph" w:customStyle="1" w:styleId="49">
    <w:name w:val="*正文"/>
    <w:basedOn w:val="1"/>
    <w:next w:val="1"/>
    <w:autoRedefine/>
    <w:qFormat/>
    <w:uiPriority w:val="0"/>
    <w:pPr>
      <w:widowControl/>
      <w:ind w:firstLine="482"/>
    </w:pPr>
    <w:rPr>
      <w:rFonts w:ascii="微软雅黑" w:hAnsi="微软雅黑" w:eastAsia="仿宋"/>
      <w:sz w:val="24"/>
      <w:szCs w:val="32"/>
    </w:rPr>
  </w:style>
  <w:style w:type="paragraph" w:customStyle="1" w:styleId="5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1">
    <w:name w:val="标题 2 Char"/>
    <w:link w:val="3"/>
    <w:autoRedefine/>
    <w:qFormat/>
    <w:uiPriority w:val="0"/>
    <w:rPr>
      <w:rFonts w:ascii="Arial" w:hAnsi="Arial"/>
      <w:b/>
      <w:bCs/>
      <w:kern w:val="0"/>
      <w:sz w:val="28"/>
      <w:szCs w:val="32"/>
    </w:rPr>
  </w:style>
  <w:style w:type="paragraph" w:customStyle="1" w:styleId="52">
    <w:name w:val="List Paragraph1"/>
    <w:basedOn w:val="1"/>
    <w:autoRedefine/>
    <w:qFormat/>
    <w:uiPriority w:val="0"/>
    <w:pPr>
      <w:ind w:firstLine="420" w:firstLineChars="200"/>
    </w:pPr>
    <w:rPr>
      <w:rFonts w:ascii="Calibri" w:hAnsi="Calibri"/>
    </w:rPr>
  </w:style>
  <w:style w:type="paragraph" w:styleId="53">
    <w:name w:val="List Paragraph"/>
    <w:basedOn w:val="1"/>
    <w:autoRedefine/>
    <w:qFormat/>
    <w:uiPriority w:val="0"/>
    <w:pPr>
      <w:ind w:firstLine="420" w:firstLineChars="200"/>
    </w:pPr>
    <w:rPr>
      <w:rFonts w:ascii="Calibri" w:hAnsi="Calibri"/>
      <w:szCs w:val="20"/>
    </w:rPr>
  </w:style>
  <w:style w:type="character" w:customStyle="1" w:styleId="54">
    <w:name w:val="fontstyle01"/>
    <w:basedOn w:val="29"/>
    <w:autoRedefine/>
    <w:qFormat/>
    <w:uiPriority w:val="0"/>
    <w:rPr>
      <w:rFonts w:hint="eastAsia" w:ascii="仿宋_GB2312" w:eastAsia="仿宋_GB2312"/>
      <w:color w:val="000000"/>
      <w:sz w:val="22"/>
      <w:szCs w:val="22"/>
    </w:rPr>
  </w:style>
  <w:style w:type="paragraph" w:customStyle="1" w:styleId="55">
    <w:name w:val="Table Paragraph"/>
    <w:basedOn w:val="1"/>
    <w:autoRedefine/>
    <w:qFormat/>
    <w:uiPriority w:val="1"/>
  </w:style>
  <w:style w:type="paragraph" w:customStyle="1" w:styleId="56">
    <w:name w:val="vsbcontent_star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7">
    <w:name w:val="xiadan"/>
    <w:basedOn w:val="29"/>
    <w:autoRedefine/>
    <w:qFormat/>
    <w:uiPriority w:val="0"/>
    <w:rPr>
      <w:shd w:val="clear" w:color="auto" w:fill="E4393C"/>
    </w:rPr>
  </w:style>
  <w:style w:type="character" w:customStyle="1" w:styleId="58">
    <w:name w:val="first-child"/>
    <w:basedOn w:val="29"/>
    <w:autoRedefine/>
    <w:qFormat/>
    <w:uiPriority w:val="0"/>
    <w:rPr>
      <w:color w:val="1F3149"/>
      <w:sz w:val="24"/>
      <w:szCs w:val="24"/>
    </w:rPr>
  </w:style>
  <w:style w:type="character" w:customStyle="1" w:styleId="59">
    <w:name w:val="first-child1"/>
    <w:basedOn w:val="29"/>
    <w:autoRedefine/>
    <w:qFormat/>
    <w:uiPriority w:val="0"/>
    <w:rPr>
      <w:color w:val="1F3149"/>
      <w:sz w:val="24"/>
      <w:szCs w:val="24"/>
    </w:rPr>
  </w:style>
  <w:style w:type="character" w:customStyle="1" w:styleId="60">
    <w:name w:val="fr"/>
    <w:basedOn w:val="29"/>
    <w:autoRedefine/>
    <w:qFormat/>
    <w:uiPriority w:val="0"/>
  </w:style>
  <w:style w:type="character" w:customStyle="1" w:styleId="61">
    <w:name w:val="icon_ds"/>
    <w:basedOn w:val="29"/>
    <w:autoRedefine/>
    <w:qFormat/>
    <w:uiPriority w:val="0"/>
  </w:style>
  <w:style w:type="character" w:customStyle="1" w:styleId="62">
    <w:name w:val="icon_ds1"/>
    <w:basedOn w:val="29"/>
    <w:autoRedefine/>
    <w:qFormat/>
    <w:uiPriority w:val="0"/>
    <w:rPr>
      <w:sz w:val="21"/>
      <w:szCs w:val="21"/>
    </w:rPr>
  </w:style>
  <w:style w:type="character" w:customStyle="1" w:styleId="63">
    <w:name w:val="icon_gys"/>
    <w:basedOn w:val="29"/>
    <w:autoRedefine/>
    <w:qFormat/>
    <w:uiPriority w:val="0"/>
    <w:rPr>
      <w:sz w:val="21"/>
      <w:szCs w:val="21"/>
    </w:rPr>
  </w:style>
  <w:style w:type="character" w:customStyle="1" w:styleId="64">
    <w:name w:val="hover"/>
    <w:basedOn w:val="29"/>
    <w:autoRedefine/>
    <w:qFormat/>
    <w:uiPriority w:val="0"/>
  </w:style>
  <w:style w:type="character" w:customStyle="1" w:styleId="65">
    <w:name w:val="hover1"/>
    <w:basedOn w:val="29"/>
    <w:autoRedefine/>
    <w:qFormat/>
    <w:uiPriority w:val="0"/>
    <w:rPr>
      <w:color w:val="2590EB"/>
    </w:rPr>
  </w:style>
  <w:style w:type="character" w:customStyle="1" w:styleId="66">
    <w:name w:val="hover2"/>
    <w:basedOn w:val="29"/>
    <w:autoRedefine/>
    <w:qFormat/>
    <w:uiPriority w:val="0"/>
    <w:rPr>
      <w:color w:val="2590EB"/>
    </w:rPr>
  </w:style>
  <w:style w:type="character" w:customStyle="1" w:styleId="67">
    <w:name w:val="hover3"/>
    <w:basedOn w:val="29"/>
    <w:autoRedefine/>
    <w:qFormat/>
    <w:uiPriority w:val="0"/>
    <w:rPr>
      <w:color w:val="2590EB"/>
      <w:shd w:val="clear" w:color="auto" w:fill="E9F4FD"/>
    </w:rPr>
  </w:style>
  <w:style w:type="character" w:customStyle="1" w:styleId="68">
    <w:name w:val="hover4"/>
    <w:basedOn w:val="29"/>
    <w:autoRedefine/>
    <w:qFormat/>
    <w:uiPriority w:val="0"/>
  </w:style>
  <w:style w:type="paragraph" w:customStyle="1" w:styleId="69">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font31"/>
    <w:basedOn w:val="29"/>
    <w:autoRedefine/>
    <w:qFormat/>
    <w:uiPriority w:val="0"/>
    <w:rPr>
      <w:rFonts w:hint="eastAsia" w:ascii="宋体" w:hAnsi="宋体" w:eastAsia="宋体" w:cs="宋体"/>
      <w:color w:val="000000"/>
      <w:sz w:val="21"/>
      <w:szCs w:val="21"/>
      <w:u w:val="none"/>
    </w:rPr>
  </w:style>
  <w:style w:type="paragraph" w:customStyle="1" w:styleId="71">
    <w:name w:val="Normal_0_3"/>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72">
    <w:name w:val="first-child2"/>
    <w:basedOn w:val="29"/>
    <w:qFormat/>
    <w:uiPriority w:val="0"/>
    <w:rPr>
      <w:color w:val="1F3149"/>
      <w:sz w:val="24"/>
      <w:szCs w:val="24"/>
    </w:rPr>
  </w:style>
  <w:style w:type="paragraph" w:customStyle="1" w:styleId="73">
    <w:name w:val="_Style 6"/>
    <w:basedOn w:val="2"/>
    <w:next w:val="1"/>
    <w:qFormat/>
    <w:uiPriority w:val="0"/>
    <w:pPr>
      <w:outlineLvl w:val="9"/>
    </w:pPr>
  </w:style>
  <w:style w:type="character" w:customStyle="1" w:styleId="74">
    <w:name w:val="批注框文本 Char"/>
    <w:basedOn w:val="29"/>
    <w:link w:val="16"/>
    <w:qFormat/>
    <w:uiPriority w:val="0"/>
    <w:rPr>
      <w:kern w:val="2"/>
      <w:sz w:val="18"/>
      <w:szCs w:val="18"/>
    </w:rPr>
  </w:style>
  <w:style w:type="paragraph" w:customStyle="1" w:styleId="75">
    <w:name w:val="p0"/>
    <w:basedOn w:val="1"/>
    <w:autoRedefine/>
    <w:qFormat/>
    <w:uiPriority w:val="0"/>
    <w:pPr>
      <w:widowControl/>
    </w:pPr>
    <w:rPr>
      <w:kern w:val="0"/>
      <w:szCs w:val="21"/>
    </w:rPr>
  </w:style>
  <w:style w:type="character" w:customStyle="1" w:styleId="76">
    <w:name w:val="mini-outputtext1"/>
    <w:basedOn w:val="29"/>
    <w:qFormat/>
    <w:uiPriority w:val="0"/>
  </w:style>
  <w:style w:type="table" w:customStyle="1" w:styleId="77">
    <w:name w:val="Table Normal"/>
    <w:unhideWhenUsed/>
    <w:qFormat/>
    <w:uiPriority w:val="0"/>
    <w:tblPr>
      <w:tblCellMar>
        <w:top w:w="0" w:type="dxa"/>
        <w:left w:w="0" w:type="dxa"/>
        <w:bottom w:w="0" w:type="dxa"/>
        <w:right w:w="0" w:type="dxa"/>
      </w:tblCellMar>
    </w:tblPr>
  </w:style>
  <w:style w:type="paragraph" w:customStyle="1" w:styleId="78">
    <w:name w:val="msolistparagraph"/>
    <w:basedOn w:val="1"/>
    <w:qFormat/>
    <w:uiPriority w:val="0"/>
    <w:pPr>
      <w:keepNext w:val="0"/>
      <w:keepLines w:val="0"/>
      <w:widowControl w:val="0"/>
      <w:suppressLineNumbers w:val="0"/>
      <w:spacing w:before="0" w:beforeAutospacing="0" w:after="0" w:afterAutospacing="0" w:line="440" w:lineRule="exact"/>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customStyle="1" w:styleId="79">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80">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81">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标题 2 字符"/>
    <w:basedOn w:val="29"/>
    <w:link w:val="3"/>
    <w:qFormat/>
    <w:uiPriority w:val="0"/>
    <w:rPr>
      <w:rFonts w:ascii="Calibri Light" w:hAnsi="Calibri Light" w:eastAsia="宋体" w:cs="Times New Roman"/>
      <w:color w:val="2E74B5"/>
      <w:kern w:val="2"/>
      <w:sz w:val="40"/>
      <w:szCs w:val="40"/>
    </w:rPr>
  </w:style>
  <w:style w:type="character" w:customStyle="1" w:styleId="84">
    <w:name w:val="15"/>
    <w:basedOn w:val="29"/>
    <w:qFormat/>
    <w:uiPriority w:val="0"/>
    <w:rPr>
      <w:rFonts w:hint="default" w:ascii="Times New Roman" w:hAnsi="Times New Roman" w:cs="Times New Roman"/>
    </w:rPr>
  </w:style>
  <w:style w:type="character" w:customStyle="1" w:styleId="85">
    <w:name w:val="font21"/>
    <w:basedOn w:val="29"/>
    <w:qFormat/>
    <w:uiPriority w:val="0"/>
    <w:rPr>
      <w:rFonts w:hint="eastAsia" w:ascii="宋体" w:hAnsi="宋体" w:eastAsia="宋体" w:cs="宋体"/>
      <w:color w:val="000000"/>
      <w:sz w:val="21"/>
      <w:szCs w:val="21"/>
      <w:u w:val="none"/>
    </w:rPr>
  </w:style>
  <w:style w:type="character" w:customStyle="1" w:styleId="86">
    <w:name w:val="nth-child(1)"/>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118</Pages>
  <Words>17541</Words>
  <Characters>19174</Characters>
  <Lines>1</Lines>
  <Paragraphs>1</Paragraphs>
  <TotalTime>80</TotalTime>
  <ScaleCrop>false</ScaleCrop>
  <LinksUpToDate>false</LinksUpToDate>
  <CharactersWithSpaces>19368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2024-11-14T07:22:00Z</dcterms:created>
  <dc:creator>yuan</dc:creator>
  <cp:lastModifiedBy>NTKO</cp:lastModifiedBy>
  <cp:lastPrinted>2023-07-04T07:15:00Z</cp:lastPrinted>
  <dcterms:modified xsi:type="dcterms:W3CDTF">2026-03-02T03:35:50Z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313DE8B5452F654B8C4F8569AD345B60_43</vt:lpwstr>
  </property>
  <property fmtid="{D5CDD505-2E9C-101B-9397-08002B2CF9AE}" pid="4" name="KSOTemplateDocerSaveRecord">
    <vt:lpwstr>eyJoZGlkIjoiNDVlMTE1M2NiZTQ0ODRjNWY5YTZmNmYxNGNlZDA1YWQiLCJ1c2VySWQiOiIxMDMyNzM1NzE4In0=</vt:lpwstr>
  </property>
</Properties>
</file>